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3F" w:rsidRDefault="003D2D33" w:rsidP="005339FD">
      <w:pPr>
        <w:pStyle w:val="Body"/>
        <w:spacing w:line="480" w:lineRule="auto"/>
        <w:jc w:val="center"/>
        <w:rPr>
          <w:rFonts w:ascii="Times New Roman" w:eastAsia="Times New Roman" w:hAnsi="Times New Roman" w:cs="Times New Roman"/>
        </w:rPr>
      </w:pPr>
      <w:r>
        <w:rPr>
          <w:rFonts w:ascii="Times New Roman" w:hAnsi="Times New Roman"/>
        </w:rPr>
        <w:t>Marginal Deference and the Silence of Absolutism:</w:t>
      </w:r>
    </w:p>
    <w:p w:rsidR="0085263F" w:rsidRDefault="003D2D33" w:rsidP="005339FD">
      <w:pPr>
        <w:pStyle w:val="Body"/>
        <w:spacing w:line="480" w:lineRule="auto"/>
        <w:jc w:val="center"/>
        <w:rPr>
          <w:rFonts w:ascii="Times New Roman" w:eastAsia="Times New Roman" w:hAnsi="Times New Roman" w:cs="Times New Roman"/>
        </w:rPr>
      </w:pPr>
      <w:r>
        <w:rPr>
          <w:rFonts w:ascii="Times New Roman" w:hAnsi="Times New Roman"/>
        </w:rPr>
        <w:t>Annotation in the 16ll King James Bible</w:t>
      </w:r>
    </w:p>
    <w:p w:rsidR="0085263F" w:rsidRDefault="003D2D33">
      <w:pPr>
        <w:pStyle w:val="FreeForm"/>
        <w:spacing w:line="480" w:lineRule="auto"/>
        <w:rPr>
          <w:rFonts w:ascii="Times New Roman" w:eastAsia="Times New Roman" w:hAnsi="Times New Roman" w:cs="Times New Roman"/>
        </w:rPr>
      </w:pPr>
      <w:r>
        <w:rPr>
          <w:rFonts w:ascii="Times New Roman" w:eastAsia="Times New Roman" w:hAnsi="Times New Roman" w:cs="Times New Roman"/>
          <w:lang w:val="en-US"/>
        </w:rPr>
        <w:tab/>
        <w:t xml:space="preserve">The </w:t>
      </w:r>
      <w:r w:rsidRPr="005339FD">
        <w:rPr>
          <w:rFonts w:ascii="Times New Roman" w:eastAsia="Times New Roman" w:hAnsi="Times New Roman" w:cs="Times New Roman"/>
          <w:lang w:val="en-US"/>
        </w:rPr>
        <w:t xml:space="preserve">King James Version </w:t>
      </w:r>
      <w:r>
        <w:rPr>
          <w:rFonts w:ascii="Times New Roman" w:eastAsia="Times New Roman" w:hAnsi="Times New Roman" w:cs="Times New Roman"/>
          <w:lang w:val="en-US"/>
        </w:rPr>
        <w:t>offers only slight textual alterations to its forebear, the Bishops</w:t>
      </w:r>
      <w:r>
        <w:rPr>
          <w:rFonts w:ascii="Times New Roman" w:hAnsi="Times New Roman"/>
        </w:rPr>
        <w:t xml:space="preserve">’ </w:t>
      </w:r>
      <w:r>
        <w:rPr>
          <w:rFonts w:ascii="Times New Roman" w:hAnsi="Times New Roman"/>
          <w:lang w:val="en-US"/>
        </w:rPr>
        <w:t xml:space="preserve">Bible. Resembling most that bible, with only infrequent changes adopted chiefly from the Geneva Bible (Betteridge 264), the KJV distinguishes itself through its removal of marginal notes. In contrast, Earlier English bibles were glossed much more heavily. </w:t>
      </w:r>
      <w:r>
        <w:rPr>
          <w:rFonts w:ascii="Times New Roman" w:hAnsi="Times New Roman"/>
          <w:lang w:val="en-US"/>
        </w:rPr>
        <w:t xml:space="preserve">The </w:t>
      </w:r>
      <w:r>
        <w:rPr>
          <w:rFonts w:ascii="Times" w:hAnsi="Times"/>
          <w:lang w:val="en-US"/>
        </w:rPr>
        <w:t>Tyndale Bibles (1525 and 1534) were heavily glossed, The Great Bible (1540) extensively cross-referenced (1540), the Geneva (1560) rigorously glossed</w:t>
      </w:r>
      <w:r w:rsidR="005339FD">
        <w:rPr>
          <w:rFonts w:ascii="Times" w:hAnsi="Times"/>
          <w:lang w:val="en-US"/>
        </w:rPr>
        <w:t>,</w:t>
      </w:r>
      <w:r>
        <w:rPr>
          <w:rFonts w:ascii="Times" w:hAnsi="Times"/>
          <w:lang w:val="en-US"/>
        </w:rPr>
        <w:t xml:space="preserve"> and the Bishops</w:t>
      </w:r>
      <w:r>
        <w:rPr>
          <w:rFonts w:ascii="Times" w:hAnsi="Times"/>
        </w:rPr>
        <w:t xml:space="preserve">’ </w:t>
      </w:r>
      <w:r>
        <w:rPr>
          <w:rFonts w:ascii="Times" w:hAnsi="Times"/>
          <w:lang w:val="en-US"/>
        </w:rPr>
        <w:t xml:space="preserve">Bible (1568) moderately glossed (Sleights 270). </w:t>
      </w:r>
      <w:r>
        <w:rPr>
          <w:rFonts w:ascii="Times New Roman" w:hAnsi="Times New Roman"/>
          <w:lang w:val="en-US"/>
        </w:rPr>
        <w:t>It is the Geneva Bible, however, with</w:t>
      </w:r>
      <w:r>
        <w:rPr>
          <w:rFonts w:ascii="Times New Roman" w:hAnsi="Times New Roman"/>
          <w:lang w:val="en-US"/>
        </w:rPr>
        <w:t xml:space="preserve"> its overabundance of marginal commentary, that the KJV largely stands against. James detested the Geneva for its inundation of Protestant</w:t>
      </w:r>
      <w:r w:rsidR="005104CA">
        <w:rPr>
          <w:rFonts w:ascii="Times New Roman" w:hAnsi="Times New Roman"/>
          <w:lang w:val="en-US"/>
        </w:rPr>
        <w:t>-</w:t>
      </w:r>
      <w:r>
        <w:rPr>
          <w:rFonts w:ascii="Times New Roman" w:hAnsi="Times New Roman"/>
          <w:lang w:val="en-US"/>
        </w:rPr>
        <w:t xml:space="preserve"> and republican</w:t>
      </w:r>
      <w:r w:rsidR="005104CA">
        <w:rPr>
          <w:rFonts w:ascii="Times New Roman" w:hAnsi="Times New Roman"/>
          <w:lang w:val="en-US"/>
        </w:rPr>
        <w:t>-</w:t>
      </w:r>
      <w:r>
        <w:rPr>
          <w:rFonts w:ascii="Times New Roman" w:hAnsi="Times New Roman"/>
          <w:lang w:val="en-US"/>
        </w:rPr>
        <w:t>leaning</w:t>
      </w:r>
      <w:r w:rsidR="005104CA">
        <w:rPr>
          <w:rFonts w:ascii="Times New Roman" w:hAnsi="Times New Roman"/>
          <w:lang w:val="en-US"/>
        </w:rPr>
        <w:t xml:space="preserve"> </w:t>
      </w:r>
      <w:r>
        <w:rPr>
          <w:rFonts w:ascii="Times New Roman" w:hAnsi="Times New Roman"/>
          <w:lang w:val="en-US"/>
        </w:rPr>
        <w:t>notes (Rather 6) and Protestantism generally for its refusal of the divine right of kings (Opf</w:t>
      </w:r>
      <w:r>
        <w:rPr>
          <w:rFonts w:ascii="Times New Roman" w:hAnsi="Times New Roman"/>
          <w:lang w:val="en-US"/>
        </w:rPr>
        <w:t>ell 2). In this way, James</w:t>
      </w:r>
      <w:r>
        <w:rPr>
          <w:rFonts w:ascii="Times New Roman" w:hAnsi="Times New Roman"/>
        </w:rPr>
        <w:t>’</w:t>
      </w:r>
      <w:r>
        <w:rPr>
          <w:rFonts w:ascii="Times New Roman" w:hAnsi="Times New Roman"/>
          <w:lang w:val="en-US"/>
        </w:rPr>
        <w:t>s prohibition of marginal notes in the KJV constitutes an imposition of consensus. As this paper will argue, the marginal note</w:t>
      </w:r>
      <w:r>
        <w:rPr>
          <w:rFonts w:ascii="Times New Roman" w:hAnsi="Times New Roman"/>
        </w:rPr>
        <w:t>’</w:t>
      </w:r>
      <w:r>
        <w:rPr>
          <w:rFonts w:ascii="Times New Roman" w:hAnsi="Times New Roman"/>
          <w:lang w:val="en-US"/>
        </w:rPr>
        <w:t>s textual production of difference stood in opposition to James</w:t>
      </w:r>
      <w:r>
        <w:rPr>
          <w:rFonts w:ascii="Times New Roman" w:hAnsi="Times New Roman"/>
        </w:rPr>
        <w:t>’</w:t>
      </w:r>
      <w:r>
        <w:rPr>
          <w:rFonts w:ascii="Times New Roman" w:hAnsi="Times New Roman"/>
          <w:lang w:val="en-US"/>
        </w:rPr>
        <w:t>s absolutist stance. As a site of inte</w:t>
      </w:r>
      <w:r>
        <w:rPr>
          <w:rFonts w:ascii="Times New Roman" w:hAnsi="Times New Roman"/>
          <w:lang w:val="en-US"/>
        </w:rPr>
        <w:t>rsection between public debate and private interpretation, the marginal note compounds difference. It produces a second script discordant with the primary text and thus provides the material and possibility of debate. James</w:t>
      </w:r>
      <w:r>
        <w:rPr>
          <w:rFonts w:ascii="Times New Roman" w:hAnsi="Times New Roman"/>
        </w:rPr>
        <w:t>’</w:t>
      </w:r>
      <w:r>
        <w:rPr>
          <w:rFonts w:ascii="Times New Roman" w:hAnsi="Times New Roman"/>
          <w:lang w:val="en-US"/>
        </w:rPr>
        <w:t>s removal of marginal annotation</w:t>
      </w:r>
      <w:r>
        <w:rPr>
          <w:rFonts w:ascii="Times New Roman" w:hAnsi="Times New Roman"/>
          <w:lang w:val="en-US"/>
        </w:rPr>
        <w:t xml:space="preserve"> in the KJV, therefore, acts out a consolidation of both textual and political authority. By ordering the expulsion of the marginal note, James removed the textual platform on which debate could endlessly defer consensus. In doing so, he effected a silenci</w:t>
      </w:r>
      <w:r>
        <w:rPr>
          <w:rFonts w:ascii="Times New Roman" w:hAnsi="Times New Roman"/>
          <w:lang w:val="en-US"/>
        </w:rPr>
        <w:t xml:space="preserve">ng of dissent, </w:t>
      </w:r>
      <w:r>
        <w:rPr>
          <w:rFonts w:ascii="Times New Roman" w:hAnsi="Times New Roman"/>
          <w:lang w:val="en-US"/>
        </w:rPr>
        <w:t>of the note</w:t>
      </w:r>
      <w:r>
        <w:rPr>
          <w:rFonts w:ascii="Times New Roman" w:hAnsi="Times New Roman"/>
        </w:rPr>
        <w:t>’</w:t>
      </w:r>
      <w:r>
        <w:rPr>
          <w:rFonts w:ascii="Times New Roman" w:hAnsi="Times New Roman"/>
          <w:lang w:val="en-US"/>
        </w:rPr>
        <w:t xml:space="preserve">s denominational content but also </w:t>
      </w:r>
      <w:r w:rsidR="005104CA">
        <w:rPr>
          <w:rFonts w:ascii="Times New Roman" w:hAnsi="Times New Roman"/>
          <w:lang w:val="en-US"/>
        </w:rPr>
        <w:t xml:space="preserve">of </w:t>
      </w:r>
      <w:r>
        <w:rPr>
          <w:rFonts w:ascii="Times New Roman" w:hAnsi="Times New Roman"/>
          <w:lang w:val="en-US"/>
        </w:rPr>
        <w:t>its</w:t>
      </w:r>
      <w:r>
        <w:rPr>
          <w:rFonts w:ascii="Times New Roman" w:hAnsi="Times New Roman"/>
          <w:lang w:val="en-US"/>
        </w:rPr>
        <w:t xml:space="preserve"> structure with its capacity to produce and defer meaning beyond the means of either the note or the central text to manage.</w:t>
      </w:r>
    </w:p>
    <w:p w:rsidR="0085263F" w:rsidRDefault="003D2D33">
      <w:pPr>
        <w:pStyle w:val="FreeForm"/>
        <w:spacing w:line="480" w:lineRule="auto"/>
        <w:rPr>
          <w:rFonts w:ascii="Times" w:eastAsia="Times" w:hAnsi="Times" w:cs="Times"/>
        </w:rPr>
      </w:pPr>
      <w:r>
        <w:rPr>
          <w:rFonts w:ascii="Times" w:eastAsia="Times" w:hAnsi="Times" w:cs="Times"/>
          <w:lang w:val="en-US"/>
        </w:rPr>
        <w:lastRenderedPageBreak/>
        <w:tab/>
        <w:t>James understood marginal commentary and public debate as an</w:t>
      </w:r>
      <w:r>
        <w:rPr>
          <w:rFonts w:ascii="Times" w:eastAsia="Times" w:hAnsi="Times" w:cs="Times"/>
          <w:lang w:val="en-US"/>
        </w:rPr>
        <w:t>tecedents to dissent in that they both, by producing difference, subordinate a central authority</w:t>
      </w:r>
      <w:r w:rsidR="005104CA">
        <w:rPr>
          <w:rFonts w:ascii="Times" w:eastAsia="Times" w:hAnsi="Times" w:cs="Times"/>
          <w:lang w:val="en-US"/>
        </w:rPr>
        <w:t>—</w:t>
      </w:r>
      <w:r>
        <w:rPr>
          <w:rFonts w:ascii="Times" w:eastAsia="Times" w:hAnsi="Times" w:cs="Times"/>
          <w:lang w:val="en-US"/>
        </w:rPr>
        <w:t>either the text</w:t>
      </w:r>
      <w:r>
        <w:rPr>
          <w:rFonts w:ascii="Times" w:hAnsi="Times"/>
        </w:rPr>
        <w:t>’</w:t>
      </w:r>
      <w:r>
        <w:rPr>
          <w:rFonts w:ascii="Times" w:hAnsi="Times"/>
          <w:lang w:val="en-US"/>
        </w:rPr>
        <w:t>s or the King</w:t>
      </w:r>
      <w:r>
        <w:rPr>
          <w:rFonts w:ascii="Times" w:hAnsi="Times"/>
        </w:rPr>
        <w:t>’</w:t>
      </w:r>
      <w:r>
        <w:rPr>
          <w:rFonts w:ascii="Times" w:hAnsi="Times"/>
          <w:lang w:val="en-US"/>
        </w:rPr>
        <w:t>s. William Sleights</w:t>
      </w:r>
      <w:r>
        <w:rPr>
          <w:rFonts w:ascii="Times" w:hAnsi="Times"/>
          <w:lang w:val="en-US"/>
        </w:rPr>
        <w:t xml:space="preserve"> writes, </w:t>
      </w:r>
      <w:r>
        <w:rPr>
          <w:rFonts w:ascii="Times" w:hAnsi="Times"/>
          <w:lang w:val="de-DE"/>
        </w:rPr>
        <w:t>“</w:t>
      </w:r>
      <w:r>
        <w:rPr>
          <w:rFonts w:ascii="Times" w:hAnsi="Times"/>
          <w:lang w:val="en-US"/>
        </w:rPr>
        <w:t>Just as there are no politically innocent texts, so too are there no politically neutral marginali</w:t>
      </w:r>
      <w:r>
        <w:rPr>
          <w:rFonts w:ascii="Times" w:hAnsi="Times"/>
          <w:lang w:val="en-US"/>
        </w:rPr>
        <w:t>a</w:t>
      </w:r>
      <w:r>
        <w:rPr>
          <w:rFonts w:ascii="Times" w:hAnsi="Times"/>
        </w:rPr>
        <w:t xml:space="preserve">” </w:t>
      </w:r>
      <w:r>
        <w:rPr>
          <w:rFonts w:ascii="Times" w:hAnsi="Times"/>
          <w:lang w:val="en-US"/>
        </w:rPr>
        <w:t>(Sleights 258). James was certainly aware of this fact. Though, at the suggestion of Protestant John Rainolds</w:t>
      </w:r>
      <w:r w:rsidR="005104CA">
        <w:rPr>
          <w:rFonts w:ascii="Times" w:hAnsi="Times"/>
          <w:lang w:val="en-US"/>
        </w:rPr>
        <w:t>,</w:t>
      </w:r>
      <w:r>
        <w:rPr>
          <w:rFonts w:ascii="Times" w:hAnsi="Times"/>
          <w:lang w:val="en-US"/>
        </w:rPr>
        <w:t xml:space="preserve"> during the Hampton Court Conference of 1604, James agreed to a new translation of the bible, he set himself against an annotative text. Where R</w:t>
      </w:r>
      <w:r>
        <w:rPr>
          <w:rFonts w:ascii="Times" w:hAnsi="Times"/>
          <w:lang w:val="en-US"/>
        </w:rPr>
        <w:t>ainolds likely hoped for the authorization of the popular Geneva Bible, James opposed the Geneva for it</w:t>
      </w:r>
      <w:r>
        <w:rPr>
          <w:rFonts w:ascii="Times" w:hAnsi="Times"/>
          <w:lang w:val="en-US"/>
        </w:rPr>
        <w:t xml:space="preserve">s excess of marginal annotation, which he called </w:t>
      </w:r>
      <w:r>
        <w:rPr>
          <w:rFonts w:ascii="Times" w:hAnsi="Times"/>
          <w:lang w:val="de-DE"/>
        </w:rPr>
        <w:t>“</w:t>
      </w:r>
      <w:r>
        <w:rPr>
          <w:rFonts w:ascii="Times" w:hAnsi="Times"/>
          <w:lang w:val="en-US"/>
        </w:rPr>
        <w:t>partial, untrue, seditious, and savoring of traitorous conceits</w:t>
      </w:r>
      <w:r>
        <w:rPr>
          <w:rFonts w:ascii="Times" w:hAnsi="Times"/>
        </w:rPr>
        <w:t xml:space="preserve">” </w:t>
      </w:r>
      <w:r>
        <w:rPr>
          <w:rFonts w:ascii="Times" w:hAnsi="Times"/>
          <w:lang w:val="de-DE"/>
        </w:rPr>
        <w:t>(Opfell 7). These claims parallel Jam</w:t>
      </w:r>
      <w:r>
        <w:rPr>
          <w:rFonts w:ascii="Times" w:hAnsi="Times"/>
          <w:lang w:val="de-DE"/>
        </w:rPr>
        <w:t>es</w:t>
      </w:r>
      <w:r>
        <w:rPr>
          <w:rFonts w:ascii="Times" w:hAnsi="Times"/>
        </w:rPr>
        <w:t>’</w:t>
      </w:r>
      <w:r>
        <w:rPr>
          <w:rFonts w:ascii="Times" w:hAnsi="Times"/>
          <w:lang w:val="en-US"/>
        </w:rPr>
        <w:t xml:space="preserve">s opposition to the Protestant Synod, </w:t>
      </w:r>
      <w:r>
        <w:rPr>
          <w:rFonts w:ascii="Times New Roman" w:hAnsi="Times New Roman"/>
          <w:lang w:val="en-US"/>
        </w:rPr>
        <w:t>a meeting of clergy and laymen in determination of doctrine</w:t>
      </w:r>
      <w:r>
        <w:rPr>
          <w:rFonts w:ascii="Times" w:hAnsi="Times"/>
          <w:lang w:val="en-US"/>
        </w:rPr>
        <w:t>. At the Hampton Court Conference</w:t>
      </w:r>
      <w:r w:rsidR="005104CA">
        <w:rPr>
          <w:rFonts w:ascii="Times" w:hAnsi="Times"/>
          <w:lang w:val="en-US"/>
        </w:rPr>
        <w:t>,</w:t>
      </w:r>
      <w:r>
        <w:rPr>
          <w:rFonts w:ascii="Times" w:hAnsi="Times"/>
          <w:lang w:val="en-US"/>
        </w:rPr>
        <w:t xml:space="preserve"> James responded to Rainolds</w:t>
      </w:r>
      <w:r>
        <w:rPr>
          <w:rFonts w:ascii="Times" w:hAnsi="Times"/>
        </w:rPr>
        <w:t>’</w:t>
      </w:r>
      <w:r>
        <w:rPr>
          <w:rFonts w:ascii="Times" w:hAnsi="Times"/>
          <w:lang w:val="en-US"/>
        </w:rPr>
        <w:t xml:space="preserve">s defense of the Synod, stating, </w:t>
      </w:r>
      <w:r>
        <w:rPr>
          <w:rFonts w:ascii="Times" w:hAnsi="Times"/>
          <w:lang w:val="de-DE"/>
        </w:rPr>
        <w:t>“</w:t>
      </w:r>
      <w:r>
        <w:rPr>
          <w:rFonts w:ascii="Times" w:hAnsi="Times"/>
          <w:lang w:val="en-US"/>
        </w:rPr>
        <w:t xml:space="preserve">If you aim at a Scottish Presbytery </w:t>
      </w:r>
      <w:r w:rsidR="005104CA">
        <w:rPr>
          <w:rFonts w:ascii="Times" w:hAnsi="Times"/>
          <w:lang w:val="en-US"/>
        </w:rPr>
        <w:t>. . .</w:t>
      </w:r>
      <w:r>
        <w:rPr>
          <w:rFonts w:ascii="Times" w:hAnsi="Times"/>
          <w:lang w:val="en-US"/>
        </w:rPr>
        <w:t xml:space="preserve"> it agreeth as well </w:t>
      </w:r>
      <w:r>
        <w:rPr>
          <w:rFonts w:ascii="Times" w:hAnsi="Times"/>
          <w:lang w:val="en-US"/>
        </w:rPr>
        <w:t>with monarchy as God and the devil. Then Jack and Tom and Will and Dick shall meet and at their pleasure censure me and my council and all our proceedings</w:t>
      </w:r>
      <w:r>
        <w:rPr>
          <w:rFonts w:ascii="Times" w:hAnsi="Times"/>
        </w:rPr>
        <w:t xml:space="preserve">” </w:t>
      </w:r>
      <w:r>
        <w:rPr>
          <w:rFonts w:ascii="Times" w:hAnsi="Times"/>
          <w:lang w:val="en-US"/>
        </w:rPr>
        <w:t xml:space="preserve">(6). Further, the KJV </w:t>
      </w:r>
      <w:r>
        <w:rPr>
          <w:rFonts w:ascii="Times" w:hAnsi="Times"/>
          <w:lang w:val="de-DE"/>
        </w:rPr>
        <w:t>“</w:t>
      </w:r>
      <w:r>
        <w:rPr>
          <w:rFonts w:ascii="Times" w:hAnsi="Times"/>
          <w:lang w:val="fr-FR"/>
        </w:rPr>
        <w:t>Preface</w:t>
      </w:r>
      <w:r>
        <w:rPr>
          <w:rFonts w:ascii="Times" w:hAnsi="Times"/>
        </w:rPr>
        <w:t xml:space="preserve">” </w:t>
      </w:r>
      <w:r>
        <w:rPr>
          <w:rFonts w:ascii="Times" w:hAnsi="Times"/>
          <w:lang w:val="en-US"/>
        </w:rPr>
        <w:t xml:space="preserve">states, </w:t>
      </w:r>
      <w:r>
        <w:rPr>
          <w:rFonts w:ascii="Times" w:hAnsi="Times"/>
          <w:lang w:val="de-DE"/>
        </w:rPr>
        <w:t>“</w:t>
      </w:r>
      <w:r>
        <w:rPr>
          <w:rFonts w:ascii="Times" w:hAnsi="Times"/>
          <w:lang w:val="en-US"/>
        </w:rPr>
        <w:t>Briefly, by the [Synods] being brought together to a parley</w:t>
      </w:r>
      <w:r>
        <w:rPr>
          <w:rFonts w:ascii="Times" w:hAnsi="Times"/>
          <w:lang w:val="en-US"/>
        </w:rPr>
        <w:t xml:space="preserve"> face to face, we sooner compose our differences than by writings which are endlesse</w:t>
      </w:r>
      <w:r>
        <w:rPr>
          <w:rFonts w:ascii="Times" w:hAnsi="Times"/>
        </w:rPr>
        <w:t xml:space="preserve">” </w:t>
      </w:r>
      <w:r>
        <w:rPr>
          <w:rFonts w:ascii="Times" w:hAnsi="Times"/>
        </w:rPr>
        <w:t xml:space="preserve">(143). The </w:t>
      </w:r>
      <w:r>
        <w:rPr>
          <w:rFonts w:ascii="Times" w:hAnsi="Times"/>
          <w:lang w:val="de-DE"/>
        </w:rPr>
        <w:t>“</w:t>
      </w:r>
      <w:r>
        <w:rPr>
          <w:rFonts w:ascii="Times" w:hAnsi="Times"/>
          <w:lang w:val="en-US"/>
        </w:rPr>
        <w:t>Preface</w:t>
      </w:r>
      <w:r w:rsidR="005104CA">
        <w:rPr>
          <w:rFonts w:ascii="Times" w:hAnsi="Times"/>
          <w:lang w:val="en-US"/>
        </w:rPr>
        <w:t>”</w:t>
      </w:r>
      <w:r>
        <w:rPr>
          <w:rFonts w:ascii="Times" w:hAnsi="Times"/>
          <w:lang w:val="en-US"/>
        </w:rPr>
        <w:t xml:space="preserve"> states further</w:t>
      </w:r>
      <w:r w:rsidR="005104CA">
        <w:rPr>
          <w:rFonts w:ascii="Times" w:hAnsi="Times"/>
          <w:lang w:val="en-US"/>
        </w:rPr>
        <w:t xml:space="preserve"> that</w:t>
      </w:r>
      <w:r>
        <w:rPr>
          <w:rFonts w:ascii="Times" w:hAnsi="Times"/>
          <w:lang w:val="en-US"/>
        </w:rPr>
        <w:t xml:space="preserve"> the King </w:t>
      </w:r>
      <w:r>
        <w:rPr>
          <w:rFonts w:ascii="Times" w:hAnsi="Times"/>
          <w:lang w:val="de-DE"/>
        </w:rPr>
        <w:t>“</w:t>
      </w:r>
      <w:r>
        <w:rPr>
          <w:rFonts w:ascii="Times" w:hAnsi="Times"/>
          <w:lang w:val="en-US"/>
        </w:rPr>
        <w:t>had not seen any profit to come by any Synode, or meeting of the Clergie, but rather the contrary</w:t>
      </w:r>
      <w:r>
        <w:rPr>
          <w:rFonts w:ascii="Times" w:hAnsi="Times"/>
        </w:rPr>
        <w:t xml:space="preserve">” </w:t>
      </w:r>
      <w:r>
        <w:rPr>
          <w:rFonts w:ascii="Times" w:hAnsi="Times"/>
          <w:lang w:val="en-US"/>
        </w:rPr>
        <w:t>(144). These statements d</w:t>
      </w:r>
      <w:r>
        <w:rPr>
          <w:rFonts w:ascii="Times" w:hAnsi="Times"/>
          <w:lang w:val="en-US"/>
        </w:rPr>
        <w:t xml:space="preserve">emonstrate a primacy of acquiescence to text-as-King which constitutes scriptural debate as political subversion and the censuring of King as sacrilege. Furthermore, they exhibit an anxiety over private interpretation, particularly for laymen, as well as </w:t>
      </w:r>
      <w:r w:rsidR="005104CA">
        <w:rPr>
          <w:rFonts w:ascii="Times" w:hAnsi="Times"/>
          <w:lang w:val="en-US"/>
        </w:rPr>
        <w:t xml:space="preserve">over </w:t>
      </w:r>
      <w:r>
        <w:rPr>
          <w:rFonts w:ascii="Times" w:hAnsi="Times"/>
          <w:lang w:val="en-US"/>
        </w:rPr>
        <w:t>t</w:t>
      </w:r>
      <w:r>
        <w:rPr>
          <w:rFonts w:ascii="Times" w:hAnsi="Times"/>
          <w:lang w:val="en-US"/>
        </w:rPr>
        <w:t xml:space="preserve">he doctrinal interference of contrary marginal annotation upon that private reading. In either case, </w:t>
      </w:r>
      <w:r>
        <w:rPr>
          <w:rFonts w:ascii="Times" w:hAnsi="Times"/>
          <w:lang w:val="en-US"/>
        </w:rPr>
        <w:t xml:space="preserve">the possibility of interpretive difference </w:t>
      </w:r>
      <w:r>
        <w:rPr>
          <w:rFonts w:ascii="Times" w:hAnsi="Times"/>
          <w:lang w:val="en-US"/>
        </w:rPr>
        <w:t xml:space="preserve">threatens political consensus. That the </w:t>
      </w:r>
      <w:r>
        <w:rPr>
          <w:rFonts w:ascii="Times" w:hAnsi="Times"/>
          <w:lang w:val="de-DE"/>
        </w:rPr>
        <w:t>“</w:t>
      </w:r>
      <w:r>
        <w:rPr>
          <w:rFonts w:ascii="Times" w:hAnsi="Times"/>
          <w:lang w:val="en-US"/>
        </w:rPr>
        <w:t>Will and Dick[s]</w:t>
      </w:r>
      <w:r>
        <w:rPr>
          <w:rFonts w:ascii="Times" w:hAnsi="Times"/>
        </w:rPr>
        <w:t xml:space="preserve">” </w:t>
      </w:r>
      <w:r>
        <w:rPr>
          <w:rFonts w:ascii="Times" w:hAnsi="Times"/>
          <w:lang w:val="en-US"/>
        </w:rPr>
        <w:t>of England could meet and endlessly debate</w:t>
      </w:r>
      <w:r>
        <w:rPr>
          <w:rFonts w:ascii="Times" w:hAnsi="Times"/>
          <w:lang w:val="en-US"/>
        </w:rPr>
        <w:t xml:space="preserve"> textual meaning meant, for James, the indefinite suspension of </w:t>
      </w:r>
      <w:r>
        <w:rPr>
          <w:rFonts w:ascii="Times" w:hAnsi="Times"/>
          <w:lang w:val="en-US"/>
        </w:rPr>
        <w:lastRenderedPageBreak/>
        <w:t>English unity</w:t>
      </w:r>
      <w:r w:rsidR="005104CA">
        <w:rPr>
          <w:rFonts w:ascii="Times" w:hAnsi="Times"/>
          <w:lang w:val="en-US"/>
        </w:rPr>
        <w:t>—</w:t>
      </w:r>
      <w:r>
        <w:rPr>
          <w:rFonts w:ascii="Times" w:hAnsi="Times"/>
          <w:lang w:val="en-US"/>
        </w:rPr>
        <w:t>a fundamental precept to his rule. James</w:t>
      </w:r>
      <w:r>
        <w:rPr>
          <w:rFonts w:ascii="Times" w:hAnsi="Times"/>
        </w:rPr>
        <w:t>’</w:t>
      </w:r>
      <w:r>
        <w:rPr>
          <w:rFonts w:ascii="Times" w:hAnsi="Times"/>
          <w:lang w:val="en-US"/>
        </w:rPr>
        <w:t xml:space="preserve">s prohibition of marginal note, then, constitutes a silencing </w:t>
      </w:r>
      <w:r w:rsidR="00CF1228">
        <w:rPr>
          <w:rFonts w:ascii="Times" w:hAnsi="Times"/>
          <w:lang w:val="en-US"/>
        </w:rPr>
        <w:t xml:space="preserve">of </w:t>
      </w:r>
      <w:r>
        <w:rPr>
          <w:rFonts w:ascii="Times" w:hAnsi="Times"/>
          <w:lang w:val="en-US"/>
        </w:rPr>
        <w:t>both existent and possible dissent.</w:t>
      </w:r>
    </w:p>
    <w:p w:rsidR="0085263F" w:rsidRDefault="003D2D33">
      <w:pPr>
        <w:pStyle w:val="FreeForm"/>
        <w:spacing w:line="480" w:lineRule="auto"/>
        <w:rPr>
          <w:rFonts w:ascii="Times New Roman" w:eastAsia="Times New Roman" w:hAnsi="Times New Roman" w:cs="Times New Roman"/>
        </w:rPr>
      </w:pPr>
      <w:r>
        <w:rPr>
          <w:rFonts w:ascii="Times New Roman" w:eastAsia="Times New Roman" w:hAnsi="Times New Roman" w:cs="Times New Roman"/>
          <w:lang w:val="en-US"/>
        </w:rPr>
        <w:tab/>
        <w:t>While the marginal note presents itse</w:t>
      </w:r>
      <w:r>
        <w:rPr>
          <w:rFonts w:ascii="Times New Roman" w:eastAsia="Times New Roman" w:hAnsi="Times New Roman" w:cs="Times New Roman"/>
          <w:lang w:val="en-US"/>
        </w:rPr>
        <w:t xml:space="preserve">lf as a locator of textual meaning, its very appearance at the edge of the page constitutes a separate script that concedes the possibility of multiple readings as it produces scriptural dialogue in conjunction with the central text. This process requires </w:t>
      </w:r>
      <w:r>
        <w:rPr>
          <w:rFonts w:ascii="Times New Roman" w:eastAsia="Times New Roman" w:hAnsi="Times New Roman" w:cs="Times New Roman"/>
          <w:lang w:val="en-US"/>
        </w:rPr>
        <w:t>some explication. While the note</w:t>
      </w:r>
      <w:r>
        <w:rPr>
          <w:rFonts w:ascii="Times New Roman" w:hAnsi="Times New Roman"/>
        </w:rPr>
        <w:t>’</w:t>
      </w:r>
      <w:r>
        <w:rPr>
          <w:rFonts w:ascii="Times New Roman" w:hAnsi="Times New Roman"/>
          <w:lang w:val="en-US"/>
        </w:rPr>
        <w:t xml:space="preserve">s apparent role is to secure meaning in an ambiguous passage, it cannot help but ascribe </w:t>
      </w:r>
      <w:r w:rsidR="005104CA">
        <w:rPr>
          <w:rFonts w:ascii="Times New Roman" w:hAnsi="Times New Roman"/>
          <w:lang w:val="en-US"/>
        </w:rPr>
        <w:t>its</w:t>
      </w:r>
      <w:r>
        <w:rPr>
          <w:rFonts w:ascii="Times New Roman" w:hAnsi="Times New Roman"/>
          <w:lang w:val="en-US"/>
        </w:rPr>
        <w:t xml:space="preserve"> own meaning. The Geneva note to 1 Corinthians 2:13 reads, </w:t>
      </w:r>
      <w:r>
        <w:rPr>
          <w:rFonts w:ascii="Times New Roman" w:hAnsi="Times New Roman"/>
          <w:lang w:val="de-DE"/>
        </w:rPr>
        <w:t>“</w:t>
      </w:r>
      <w:r>
        <w:rPr>
          <w:rFonts w:ascii="Times New Roman" w:hAnsi="Times New Roman"/>
          <w:lang w:val="en-US"/>
        </w:rPr>
        <w:t xml:space="preserve">As that we teache is spiritual, so </w:t>
      </w:r>
      <w:r>
        <w:rPr>
          <w:rFonts w:ascii="Times New Roman" w:hAnsi="Times New Roman"/>
          <w:lang w:val="es-ES_tradnl"/>
        </w:rPr>
        <w:t xml:space="preserve">ó </w:t>
      </w:r>
      <w:r>
        <w:rPr>
          <w:rFonts w:ascii="Times New Roman" w:hAnsi="Times New Roman"/>
          <w:lang w:val="en-US"/>
        </w:rPr>
        <w:t>kinde of teaching must be spiritu</w:t>
      </w:r>
      <w:r>
        <w:rPr>
          <w:rFonts w:ascii="Times New Roman" w:hAnsi="Times New Roman"/>
          <w:lang w:val="en-US"/>
        </w:rPr>
        <w:t>al, that y wordes may agree with the matter.</w:t>
      </w:r>
      <w:r>
        <w:rPr>
          <w:rFonts w:ascii="Times New Roman" w:hAnsi="Times New Roman"/>
        </w:rPr>
        <w:t xml:space="preserve">” </w:t>
      </w:r>
      <w:r>
        <w:rPr>
          <w:rFonts w:ascii="Times New Roman" w:hAnsi="Times New Roman"/>
          <w:lang w:val="en-US"/>
        </w:rPr>
        <w:t>The taught meaning must equal, both in spirit and content, God</w:t>
      </w:r>
      <w:r>
        <w:rPr>
          <w:rFonts w:ascii="Times New Roman" w:hAnsi="Times New Roman"/>
        </w:rPr>
        <w:t>’</w:t>
      </w:r>
      <w:r>
        <w:rPr>
          <w:rFonts w:ascii="Times New Roman" w:hAnsi="Times New Roman"/>
          <w:lang w:val="en-US"/>
        </w:rPr>
        <w:t xml:space="preserve">s word. And yet, the referent passage reads, </w:t>
      </w:r>
      <w:r>
        <w:rPr>
          <w:rFonts w:ascii="Times New Roman" w:hAnsi="Times New Roman"/>
          <w:lang w:val="de-DE"/>
        </w:rPr>
        <w:t>“</w:t>
      </w:r>
      <w:r>
        <w:rPr>
          <w:rFonts w:ascii="Times New Roman" w:hAnsi="Times New Roman"/>
          <w:lang w:val="en-US"/>
        </w:rPr>
        <w:t xml:space="preserve">Which things also we speake, not in the wordes which mans wisdome teacheth, but which the holie Gost </w:t>
      </w:r>
      <w:r>
        <w:rPr>
          <w:rFonts w:ascii="Times New Roman" w:hAnsi="Times New Roman"/>
          <w:lang w:val="en-US"/>
        </w:rPr>
        <w:t>teacheth, comparing spiritual things with spiritual things</w:t>
      </w:r>
      <w:r>
        <w:rPr>
          <w:rFonts w:ascii="Times New Roman" w:hAnsi="Times New Roman"/>
        </w:rPr>
        <w:t xml:space="preserve">” </w:t>
      </w:r>
      <w:r>
        <w:rPr>
          <w:rFonts w:ascii="Times New Roman" w:hAnsi="Times New Roman"/>
          <w:lang w:val="en-US"/>
        </w:rPr>
        <w:t>(Geneva 1 Corinthians 2:13). The note, of course, speaks in the language of man</w:t>
      </w:r>
      <w:r>
        <w:rPr>
          <w:rFonts w:ascii="Times New Roman" w:hAnsi="Times New Roman"/>
        </w:rPr>
        <w:t>’</w:t>
      </w:r>
      <w:r>
        <w:rPr>
          <w:rFonts w:ascii="Times New Roman" w:hAnsi="Times New Roman"/>
          <w:lang w:val="en-US"/>
        </w:rPr>
        <w:t>s wisdom and not in the spiritual. Its aim is to make the passage knowable to those who cannot simply receive the sp</w:t>
      </w:r>
      <w:r>
        <w:rPr>
          <w:rFonts w:ascii="Times New Roman" w:hAnsi="Times New Roman"/>
          <w:lang w:val="en-US"/>
        </w:rPr>
        <w:t>irit of the text. The note is never an equivalency of the referent passage. Were it, the note would constitute a redundancy. Instead, the note must in some way alter the sense of the text. It must make it manageable, understandable or, more cynically, conf</w:t>
      </w:r>
      <w:r>
        <w:rPr>
          <w:rFonts w:ascii="Times New Roman" w:hAnsi="Times New Roman"/>
          <w:lang w:val="en-US"/>
        </w:rPr>
        <w:t>orm to a doctrine that does not fit the text.</w:t>
      </w:r>
      <w:r>
        <w:rPr>
          <w:rFonts w:ascii="Times New Roman" w:hAnsi="Times New Roman"/>
          <w:i/>
          <w:iCs/>
        </w:rPr>
        <w:t xml:space="preserve"> </w:t>
      </w:r>
      <w:r>
        <w:rPr>
          <w:rFonts w:ascii="Times New Roman" w:hAnsi="Times New Roman"/>
          <w:lang w:val="en-US"/>
        </w:rPr>
        <w:t>Implicitly, the note presents itself as an overriding authority over the central text. While it claims to illuminate the text, it also holds the capacity to sway the primary material as a second and authoritati</w:t>
      </w:r>
      <w:r>
        <w:rPr>
          <w:rFonts w:ascii="Times New Roman" w:hAnsi="Times New Roman"/>
          <w:lang w:val="en-US"/>
        </w:rPr>
        <w:t>ve text containing the real meaning. This process is particularly evident in the Geneva Bible.</w:t>
      </w:r>
    </w:p>
    <w:p w:rsidR="0085263F" w:rsidRDefault="003D2D33">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Cumulatively, the Geneva notes constitute a text unto themselves and present a Protestant methodology for reading and being in the world. In this way, the Genev</w:t>
      </w:r>
      <w:r>
        <w:rPr>
          <w:rFonts w:ascii="Times New Roman" w:eastAsia="Times New Roman" w:hAnsi="Times New Roman" w:cs="Times New Roman"/>
        </w:rPr>
        <w:t xml:space="preserve">a notes have the capacity </w:t>
      </w:r>
      <w:r>
        <w:rPr>
          <w:rFonts w:ascii="Times New Roman" w:eastAsia="Times New Roman" w:hAnsi="Times New Roman" w:cs="Times New Roman"/>
        </w:rPr>
        <w:lastRenderedPageBreak/>
        <w:t>to replace the central text, not requiring it to convey their reading. The Geneva Bible</w:t>
      </w:r>
      <w:r>
        <w:rPr>
          <w:rFonts w:ascii="Times New Roman" w:hAnsi="Times New Roman"/>
        </w:rPr>
        <w:t>’</w:t>
      </w:r>
      <w:r>
        <w:rPr>
          <w:rFonts w:ascii="Times New Roman" w:hAnsi="Times New Roman"/>
        </w:rPr>
        <w:t>s notes for John 14, for example, express a particular expectation of the divine.</w:t>
      </w:r>
    </w:p>
    <w:p w:rsidR="0085263F" w:rsidRDefault="003D2D33">
      <w:pPr>
        <w:pStyle w:val="FreeForm"/>
        <w:tabs>
          <w:tab w:val="left" w:pos="900"/>
        </w:tabs>
        <w:ind w:left="720" w:right="720"/>
        <w:rPr>
          <w:rFonts w:ascii="Times New Roman" w:eastAsia="Times New Roman" w:hAnsi="Times New Roman" w:cs="Times New Roman"/>
        </w:rPr>
      </w:pPr>
      <w:r>
        <w:rPr>
          <w:rFonts w:ascii="Times New Roman" w:hAnsi="Times New Roman"/>
          <w:vertAlign w:val="superscript"/>
        </w:rPr>
        <w:t>E</w:t>
      </w:r>
      <w:r>
        <w:rPr>
          <w:rFonts w:ascii="Times New Roman" w:hAnsi="Times New Roman"/>
          <w:vertAlign w:val="superscript"/>
        </w:rPr>
        <w:tab/>
      </w:r>
      <w:r>
        <w:rPr>
          <w:rFonts w:ascii="Times New Roman" w:hAnsi="Times New Roman"/>
          <w:lang w:val="en-US"/>
        </w:rPr>
        <w:t xml:space="preserve">Therefore we must begin in him, continewe in him &amp; end in </w:t>
      </w:r>
      <w:r>
        <w:rPr>
          <w:rFonts w:ascii="Times New Roman" w:hAnsi="Times New Roman"/>
          <w:lang w:val="en-US"/>
        </w:rPr>
        <w:t>him.</w:t>
      </w:r>
    </w:p>
    <w:p w:rsidR="0085263F" w:rsidRDefault="003D2D33">
      <w:pPr>
        <w:pStyle w:val="FreeForm"/>
        <w:tabs>
          <w:tab w:val="left" w:pos="900"/>
        </w:tabs>
        <w:ind w:left="720" w:right="720"/>
        <w:rPr>
          <w:rFonts w:ascii="Times New Roman" w:eastAsia="Times New Roman" w:hAnsi="Times New Roman" w:cs="Times New Roman"/>
        </w:rPr>
      </w:pPr>
      <w:r>
        <w:rPr>
          <w:rFonts w:ascii="Times New Roman" w:hAnsi="Times New Roman"/>
          <w:vertAlign w:val="superscript"/>
        </w:rPr>
        <w:t xml:space="preserve">F </w:t>
      </w:r>
      <w:r>
        <w:rPr>
          <w:rFonts w:ascii="Times New Roman" w:hAnsi="Times New Roman"/>
          <w:vertAlign w:val="superscript"/>
        </w:rPr>
        <w:tab/>
      </w:r>
      <w:r>
        <w:rPr>
          <w:rFonts w:ascii="Times New Roman" w:hAnsi="Times New Roman"/>
          <w:lang w:val="en-US"/>
        </w:rPr>
        <w:t>For the verie fulnes of the divinitie remaineth in Christ.</w:t>
      </w:r>
    </w:p>
    <w:p w:rsidR="0085263F" w:rsidRDefault="003D2D33">
      <w:pPr>
        <w:pStyle w:val="FreeForm"/>
        <w:tabs>
          <w:tab w:val="left" w:pos="900"/>
        </w:tabs>
        <w:ind w:left="720" w:right="720"/>
        <w:rPr>
          <w:rFonts w:ascii="Times New Roman" w:eastAsia="Times New Roman" w:hAnsi="Times New Roman" w:cs="Times New Roman"/>
        </w:rPr>
      </w:pPr>
      <w:r>
        <w:rPr>
          <w:rFonts w:ascii="Times New Roman" w:hAnsi="Times New Roman"/>
          <w:vertAlign w:val="superscript"/>
        </w:rPr>
        <w:t>L</w:t>
      </w:r>
      <w:r>
        <w:rPr>
          <w:rFonts w:ascii="Times New Roman" w:hAnsi="Times New Roman"/>
          <w:vertAlign w:val="superscript"/>
        </w:rPr>
        <w:tab/>
      </w:r>
      <w:r>
        <w:rPr>
          <w:rFonts w:ascii="Times New Roman" w:hAnsi="Times New Roman"/>
          <w:lang w:val="en-US"/>
        </w:rPr>
        <w:t>So called because he worketh in us the trueth.</w:t>
      </w:r>
    </w:p>
    <w:p w:rsidR="0085263F" w:rsidRDefault="003D2D33">
      <w:pPr>
        <w:pStyle w:val="FreeForm"/>
        <w:tabs>
          <w:tab w:val="left" w:pos="900"/>
        </w:tabs>
        <w:ind w:left="720" w:right="720"/>
        <w:rPr>
          <w:rFonts w:ascii="Times New Roman" w:eastAsia="Times New Roman" w:hAnsi="Times New Roman" w:cs="Times New Roman"/>
        </w:rPr>
      </w:pPr>
      <w:r>
        <w:rPr>
          <w:rFonts w:ascii="Times New Roman" w:hAnsi="Times New Roman"/>
          <w:vertAlign w:val="superscript"/>
        </w:rPr>
        <w:t>M</w:t>
      </w:r>
      <w:r>
        <w:rPr>
          <w:rFonts w:ascii="Times New Roman" w:hAnsi="Times New Roman"/>
          <w:vertAlign w:val="superscript"/>
        </w:rPr>
        <w:tab/>
      </w:r>
      <w:r>
        <w:rPr>
          <w:rFonts w:ascii="Times New Roman" w:hAnsi="Times New Roman"/>
          <w:lang w:val="en-US"/>
        </w:rPr>
        <w:t>Which th</w:t>
      </w:r>
      <w:r>
        <w:rPr>
          <w:rFonts w:ascii="Times New Roman" w:hAnsi="Times New Roman"/>
        </w:rPr>
        <w:t>í</w:t>
      </w:r>
      <w:r>
        <w:rPr>
          <w:rFonts w:ascii="Times New Roman" w:hAnsi="Times New Roman"/>
          <w:lang w:val="en-US"/>
        </w:rPr>
        <w:t xml:space="preserve">g he doeth by </w:t>
      </w:r>
      <w:r>
        <w:rPr>
          <w:rFonts w:ascii="Times New Roman" w:hAnsi="Times New Roman"/>
        </w:rPr>
        <w:t xml:space="preserve">ý </w:t>
      </w:r>
      <w:r>
        <w:rPr>
          <w:rFonts w:ascii="Times New Roman" w:hAnsi="Times New Roman"/>
          <w:lang w:val="en-US"/>
        </w:rPr>
        <w:t>vertue of his Spirit.</w:t>
      </w:r>
    </w:p>
    <w:p w:rsidR="0085263F" w:rsidRDefault="003D2D33">
      <w:pPr>
        <w:pStyle w:val="FreeForm"/>
        <w:tabs>
          <w:tab w:val="left" w:pos="900"/>
        </w:tabs>
        <w:ind w:left="720" w:right="720"/>
        <w:rPr>
          <w:rFonts w:ascii="Times New Roman" w:eastAsia="Times New Roman" w:hAnsi="Times New Roman" w:cs="Times New Roman"/>
        </w:rPr>
      </w:pPr>
      <w:r>
        <w:rPr>
          <w:rFonts w:ascii="Times New Roman" w:hAnsi="Times New Roman"/>
          <w:vertAlign w:val="superscript"/>
          <w:lang w:val="de-DE"/>
        </w:rPr>
        <w:t xml:space="preserve">N </w:t>
      </w:r>
      <w:r>
        <w:rPr>
          <w:rFonts w:ascii="Times New Roman" w:hAnsi="Times New Roman"/>
          <w:vertAlign w:val="superscript"/>
          <w:lang w:val="de-DE"/>
        </w:rPr>
        <w:tab/>
      </w:r>
      <w:r>
        <w:rPr>
          <w:rFonts w:ascii="Times New Roman" w:hAnsi="Times New Roman"/>
          <w:lang w:val="en-US"/>
        </w:rPr>
        <w:t xml:space="preserve">He shal sensibly feele </w:t>
      </w:r>
      <w:r>
        <w:rPr>
          <w:rFonts w:ascii="Times New Roman" w:hAnsi="Times New Roman"/>
        </w:rPr>
        <w:t xml:space="preserve">ý </w:t>
      </w:r>
      <w:r>
        <w:rPr>
          <w:rFonts w:ascii="Times New Roman" w:hAnsi="Times New Roman"/>
          <w:lang w:val="en-US"/>
        </w:rPr>
        <w:t>the grace of God abideth in him.</w:t>
      </w:r>
    </w:p>
    <w:p w:rsidR="0085263F" w:rsidRDefault="003D2D33">
      <w:pPr>
        <w:pStyle w:val="FreeForm"/>
        <w:tabs>
          <w:tab w:val="left" w:pos="900"/>
        </w:tabs>
        <w:ind w:left="720" w:right="720"/>
        <w:rPr>
          <w:rFonts w:ascii="Times New Roman" w:eastAsia="Times New Roman" w:hAnsi="Times New Roman" w:cs="Times New Roman"/>
        </w:rPr>
      </w:pPr>
      <w:r>
        <w:rPr>
          <w:rFonts w:ascii="Times New Roman" w:hAnsi="Times New Roman"/>
          <w:vertAlign w:val="superscript"/>
        </w:rPr>
        <w:t>S</w:t>
      </w:r>
      <w:r>
        <w:rPr>
          <w:rFonts w:ascii="Times New Roman" w:hAnsi="Times New Roman"/>
          <w:vertAlign w:val="superscript"/>
        </w:rPr>
        <w:tab/>
      </w:r>
      <w:r>
        <w:rPr>
          <w:rFonts w:ascii="Times New Roman" w:hAnsi="Times New Roman"/>
          <w:lang w:val="en-US"/>
        </w:rPr>
        <w:t>In that, that Christ has bec</w:t>
      </w:r>
      <w:r>
        <w:rPr>
          <w:rFonts w:ascii="Times New Roman" w:hAnsi="Times New Roman"/>
          <w:lang w:val="en-US"/>
        </w:rPr>
        <w:t xml:space="preserve">ome man to be Mediator betwene God &amp; us. (Geneva </w:t>
      </w:r>
      <w:r>
        <w:rPr>
          <w:rFonts w:ascii="Times New Roman" w:hAnsi="Times New Roman"/>
          <w:lang w:val="en-US"/>
        </w:rPr>
        <w:tab/>
        <w:t>14:6-24)</w:t>
      </w:r>
    </w:p>
    <w:p w:rsidR="0085263F" w:rsidRDefault="0085263F">
      <w:pPr>
        <w:pStyle w:val="FreeForm"/>
        <w:tabs>
          <w:tab w:val="left" w:pos="900"/>
        </w:tabs>
        <w:ind w:left="720" w:right="720"/>
      </w:pPr>
    </w:p>
    <w:p w:rsidR="0085263F" w:rsidRDefault="003D2D33">
      <w:pPr>
        <w:pStyle w:val="FreeForm"/>
        <w:spacing w:line="480" w:lineRule="auto"/>
        <w:rPr>
          <w:rFonts w:ascii="Times New Roman" w:eastAsia="Times New Roman" w:hAnsi="Times New Roman" w:cs="Times New Roman"/>
        </w:rPr>
      </w:pPr>
      <w:r>
        <w:rPr>
          <w:rFonts w:ascii="Times New Roman" w:hAnsi="Times New Roman"/>
          <w:lang w:val="en-US"/>
        </w:rPr>
        <w:t>The transference of meaning to a commentary text means that the central text becomes a mere sign pointing to the text containing the real meaning. The commentary deprives the text of authority. It</w:t>
      </w:r>
      <w:r>
        <w:rPr>
          <w:rFonts w:ascii="Times New Roman" w:hAnsi="Times New Roman"/>
          <w:lang w:val="en-US"/>
        </w:rPr>
        <w:t xml:space="preserve"> stands above the text. In his moment of doubt, the reader turns to the commentary for reassurance and is in turn provided with a dependable understanding.</w:t>
      </w:r>
      <w:r>
        <w:t xml:space="preserve"> </w:t>
      </w:r>
      <w:r>
        <w:rPr>
          <w:rFonts w:ascii="Times New Roman" w:hAnsi="Times New Roman"/>
          <w:lang w:val="en-US"/>
        </w:rPr>
        <w:t>From the above annotation alone, the reader understands that divinity is experienced only through Ch</w:t>
      </w:r>
      <w:r>
        <w:rPr>
          <w:rFonts w:ascii="Times New Roman" w:hAnsi="Times New Roman"/>
          <w:lang w:val="en-US"/>
        </w:rPr>
        <w:t>rist, that it is complete in Christ, that it will remain in Christ</w:t>
      </w:r>
      <w:r w:rsidR="00CF1228">
        <w:rPr>
          <w:rFonts w:ascii="Times New Roman" w:hAnsi="Times New Roman"/>
          <w:lang w:val="en-US"/>
        </w:rPr>
        <w:t>,</w:t>
      </w:r>
      <w:r>
        <w:rPr>
          <w:rFonts w:ascii="Times New Roman" w:hAnsi="Times New Roman"/>
          <w:lang w:val="en-US"/>
        </w:rPr>
        <w:t xml:space="preserve"> and that it is Christ alone who may mediate between self and God. The referent passage is no longer required, for even if the sense is not the same, the reader does understand something of </w:t>
      </w:r>
      <w:r>
        <w:rPr>
          <w:rFonts w:ascii="Times New Roman" w:hAnsi="Times New Roman"/>
          <w:lang w:val="en-US"/>
        </w:rPr>
        <w:t>the second and now dominant text. The reader infers the non-divinity of the Church and that it is Christ who must mediate the experience of God, not the Church. The commentary, ironically, replaces the Church as mediator and as the Church</w:t>
      </w:r>
      <w:r>
        <w:rPr>
          <w:rFonts w:ascii="Times New Roman" w:hAnsi="Times New Roman"/>
        </w:rPr>
        <w:t>’</w:t>
      </w:r>
      <w:r>
        <w:rPr>
          <w:rFonts w:ascii="Times New Roman" w:hAnsi="Times New Roman"/>
          <w:lang w:val="en-US"/>
        </w:rPr>
        <w:t>s textual and spi</w:t>
      </w:r>
      <w:r>
        <w:rPr>
          <w:rFonts w:ascii="Times New Roman" w:hAnsi="Times New Roman"/>
          <w:lang w:val="en-US"/>
        </w:rPr>
        <w:t>ritual authority erodes so to</w:t>
      </w:r>
      <w:r w:rsidR="005104CA">
        <w:rPr>
          <w:rFonts w:ascii="Times New Roman" w:hAnsi="Times New Roman"/>
          <w:lang w:val="en-US"/>
        </w:rPr>
        <w:t>o</w:t>
      </w:r>
      <w:r>
        <w:rPr>
          <w:rFonts w:ascii="Times New Roman" w:hAnsi="Times New Roman"/>
          <w:lang w:val="en-US"/>
        </w:rPr>
        <w:t xml:space="preserve"> does the King</w:t>
      </w:r>
      <w:r>
        <w:rPr>
          <w:rFonts w:ascii="Times New Roman" w:hAnsi="Times New Roman"/>
        </w:rPr>
        <w:t>’</w:t>
      </w:r>
      <w:r>
        <w:rPr>
          <w:rFonts w:ascii="Times New Roman" w:hAnsi="Times New Roman"/>
          <w:lang w:val="en-US"/>
        </w:rPr>
        <w:t>s. The KJV</w:t>
      </w:r>
      <w:r>
        <w:rPr>
          <w:rFonts w:ascii="Times New Roman" w:hAnsi="Times New Roman"/>
        </w:rPr>
        <w:t>’</w:t>
      </w:r>
      <w:r>
        <w:rPr>
          <w:rFonts w:ascii="Times New Roman" w:hAnsi="Times New Roman"/>
        </w:rPr>
        <w:t xml:space="preserve">s </w:t>
      </w:r>
      <w:r>
        <w:rPr>
          <w:rFonts w:ascii="Times New Roman" w:hAnsi="Times New Roman"/>
          <w:lang w:val="de-DE"/>
        </w:rPr>
        <w:t>“</w:t>
      </w:r>
      <w:r>
        <w:rPr>
          <w:rFonts w:ascii="Times New Roman" w:hAnsi="Times New Roman"/>
          <w:lang w:val="en-US"/>
        </w:rPr>
        <w:t>Dediction</w:t>
      </w:r>
      <w:r>
        <w:rPr>
          <w:rFonts w:ascii="Times New Roman" w:hAnsi="Times New Roman"/>
        </w:rPr>
        <w:t xml:space="preserve">” </w:t>
      </w:r>
      <w:r>
        <w:rPr>
          <w:rFonts w:ascii="Times New Roman" w:hAnsi="Times New Roman"/>
          <w:lang w:val="en-US"/>
        </w:rPr>
        <w:t xml:space="preserve">pronounces James as </w:t>
      </w:r>
      <w:r>
        <w:rPr>
          <w:rFonts w:ascii="Times" w:hAnsi="Times"/>
          <w:lang w:val="de-DE"/>
        </w:rPr>
        <w:t>“</w:t>
      </w:r>
      <w:r>
        <w:rPr>
          <w:rFonts w:ascii="Times" w:hAnsi="Times"/>
          <w:lang w:val="en-US"/>
        </w:rPr>
        <w:t>that sanctified person, who, under God, is the immediate author of [His Majesty</w:t>
      </w:r>
      <w:r>
        <w:rPr>
          <w:rFonts w:ascii="Times" w:hAnsi="Times"/>
        </w:rPr>
        <w:t>’</w:t>
      </w:r>
      <w:r>
        <w:rPr>
          <w:rFonts w:ascii="Times" w:hAnsi="Times"/>
          <w:lang w:val="en-US"/>
        </w:rPr>
        <w:t>s loyal and religious people</w:t>
      </w:r>
      <w:r>
        <w:rPr>
          <w:rFonts w:ascii="Times" w:hAnsi="Times"/>
        </w:rPr>
        <w:t>’</w:t>
      </w:r>
      <w:r>
        <w:rPr>
          <w:rFonts w:ascii="Times" w:hAnsi="Times"/>
          <w:lang w:val="en-US"/>
        </w:rPr>
        <w:t>s] true happiness</w:t>
      </w:r>
      <w:r>
        <w:rPr>
          <w:rFonts w:ascii="Times" w:hAnsi="Times"/>
        </w:rPr>
        <w:t xml:space="preserve">” </w:t>
      </w:r>
      <w:r>
        <w:rPr>
          <w:rFonts w:ascii="Times" w:hAnsi="Times"/>
          <w:lang w:val="de-DE"/>
        </w:rPr>
        <w:t xml:space="preserve">(Opfell 141). </w:t>
      </w:r>
      <w:r>
        <w:rPr>
          <w:rFonts w:ascii="Times New Roman" w:hAnsi="Times New Roman"/>
          <w:lang w:val="en-US"/>
        </w:rPr>
        <w:t>As head of the Church of</w:t>
      </w:r>
      <w:r>
        <w:rPr>
          <w:rFonts w:ascii="Times New Roman" w:hAnsi="Times New Roman"/>
          <w:lang w:val="en-US"/>
        </w:rPr>
        <w:t xml:space="preserve"> England, much of James</w:t>
      </w:r>
      <w:r>
        <w:rPr>
          <w:rFonts w:ascii="Times New Roman" w:hAnsi="Times New Roman"/>
        </w:rPr>
        <w:t>’</w:t>
      </w:r>
      <w:r>
        <w:rPr>
          <w:rFonts w:ascii="Times New Roman" w:hAnsi="Times New Roman"/>
          <w:lang w:val="en-US"/>
        </w:rPr>
        <w:t xml:space="preserve">s authority </w:t>
      </w:r>
      <w:r w:rsidR="005104CA">
        <w:rPr>
          <w:rFonts w:ascii="Times New Roman" w:hAnsi="Times New Roman"/>
          <w:lang w:val="en-US"/>
        </w:rPr>
        <w:t>lay</w:t>
      </w:r>
      <w:r>
        <w:rPr>
          <w:rFonts w:ascii="Times New Roman" w:hAnsi="Times New Roman"/>
          <w:lang w:val="en-US"/>
        </w:rPr>
        <w:t xml:space="preserve"> in his claim as mediator between God</w:t>
      </w:r>
      <w:r>
        <w:rPr>
          <w:rFonts w:ascii="Times New Roman" w:hAnsi="Times New Roman"/>
        </w:rPr>
        <w:t>’</w:t>
      </w:r>
      <w:r>
        <w:rPr>
          <w:rFonts w:ascii="Times New Roman" w:hAnsi="Times New Roman"/>
          <w:lang w:val="en-US"/>
        </w:rPr>
        <w:t>s word to his subjects. Yet the reader understands there is a difference between the claims of the King and those of the text</w:t>
      </w:r>
      <w:r>
        <w:rPr>
          <w:rFonts w:ascii="Times New Roman" w:hAnsi="Times New Roman"/>
        </w:rPr>
        <w:t>’</w:t>
      </w:r>
      <w:r>
        <w:rPr>
          <w:rFonts w:ascii="Times New Roman" w:hAnsi="Times New Roman"/>
          <w:lang w:val="en-US"/>
        </w:rPr>
        <w:t>s commentary. As interpretive differences produced b</w:t>
      </w:r>
      <w:r>
        <w:rPr>
          <w:rFonts w:ascii="Times New Roman" w:hAnsi="Times New Roman"/>
          <w:lang w:val="en-US"/>
        </w:rPr>
        <w:t>y the marginal note erode the King</w:t>
      </w:r>
      <w:r>
        <w:rPr>
          <w:rFonts w:ascii="Times New Roman" w:hAnsi="Times New Roman"/>
        </w:rPr>
        <w:t>’</w:t>
      </w:r>
      <w:r>
        <w:rPr>
          <w:rFonts w:ascii="Times New Roman" w:hAnsi="Times New Roman"/>
          <w:lang w:val="en-US"/>
        </w:rPr>
        <w:t xml:space="preserve">s claim, the King himself is differentiated from the text. David Norton writes, </w:t>
      </w:r>
      <w:r>
        <w:rPr>
          <w:rFonts w:ascii="Times New Roman" w:hAnsi="Times New Roman"/>
          <w:lang w:val="de-DE"/>
        </w:rPr>
        <w:t>“</w:t>
      </w:r>
      <w:r>
        <w:rPr>
          <w:rFonts w:ascii="Times New Roman" w:hAnsi="Times New Roman"/>
          <w:lang w:val="en-US"/>
        </w:rPr>
        <w:t xml:space="preserve">Not </w:t>
      </w:r>
      <w:r>
        <w:rPr>
          <w:rFonts w:ascii="Times New Roman" w:hAnsi="Times New Roman"/>
          <w:lang w:val="en-US"/>
        </w:rPr>
        <w:lastRenderedPageBreak/>
        <w:t>only does such editorial material control and limit the text</w:t>
      </w:r>
      <w:r>
        <w:rPr>
          <w:rFonts w:ascii="Times New Roman" w:hAnsi="Times New Roman"/>
        </w:rPr>
        <w:t>’</w:t>
      </w:r>
      <w:r>
        <w:rPr>
          <w:rFonts w:ascii="Times New Roman" w:hAnsi="Times New Roman"/>
          <w:lang w:val="en-US"/>
        </w:rPr>
        <w:t>s imaginative possibilities in a ruthlessly doctrinal way</w:t>
      </w:r>
      <w:r w:rsidR="005104CA">
        <w:rPr>
          <w:rFonts w:ascii="Times New Roman" w:hAnsi="Times New Roman"/>
          <w:lang w:val="en-US"/>
        </w:rPr>
        <w:t xml:space="preserve"> . . .</w:t>
      </w:r>
      <w:r>
        <w:rPr>
          <w:rFonts w:ascii="Times New Roman" w:hAnsi="Times New Roman"/>
          <w:lang w:val="en-US"/>
        </w:rPr>
        <w:t xml:space="preserve"> but it breaks</w:t>
      </w:r>
      <w:r>
        <w:rPr>
          <w:rFonts w:ascii="Times New Roman" w:hAnsi="Times New Roman"/>
          <w:lang w:val="en-US"/>
        </w:rPr>
        <w:t xml:space="preserve"> up the singleness of the reader</w:t>
      </w:r>
      <w:r>
        <w:rPr>
          <w:rFonts w:ascii="Times New Roman" w:hAnsi="Times New Roman"/>
        </w:rPr>
        <w:t>’</w:t>
      </w:r>
      <w:r>
        <w:rPr>
          <w:rFonts w:ascii="Times New Roman" w:hAnsi="Times New Roman"/>
          <w:lang w:val="en-US"/>
        </w:rPr>
        <w:t>s engagement with the text</w:t>
      </w:r>
      <w:r>
        <w:rPr>
          <w:rFonts w:ascii="Times New Roman" w:hAnsi="Times New Roman"/>
        </w:rPr>
        <w:t xml:space="preserve">” </w:t>
      </w:r>
      <w:r>
        <w:rPr>
          <w:rFonts w:ascii="Times New Roman" w:hAnsi="Times New Roman"/>
          <w:lang w:val="en-US"/>
        </w:rPr>
        <w:t>(Norton 163). While Norton touches on the note</w:t>
      </w:r>
      <w:r>
        <w:rPr>
          <w:rFonts w:ascii="Times New Roman" w:hAnsi="Times New Roman"/>
        </w:rPr>
        <w:t>’</w:t>
      </w:r>
      <w:r>
        <w:rPr>
          <w:rFonts w:ascii="Times New Roman" w:hAnsi="Times New Roman"/>
          <w:lang w:val="en-US"/>
        </w:rPr>
        <w:t>s ability to interrupt both the text and the reader</w:t>
      </w:r>
      <w:r>
        <w:rPr>
          <w:rFonts w:ascii="Times New Roman" w:hAnsi="Times New Roman"/>
        </w:rPr>
        <w:t>’</w:t>
      </w:r>
      <w:r>
        <w:rPr>
          <w:rFonts w:ascii="Times New Roman" w:hAnsi="Times New Roman"/>
          <w:lang w:val="en-US"/>
        </w:rPr>
        <w:t>s interaction with it, he does not touch upon the imaginative possibilities that the note in con</w:t>
      </w:r>
      <w:r>
        <w:rPr>
          <w:rFonts w:ascii="Times New Roman" w:hAnsi="Times New Roman"/>
          <w:lang w:val="en-US"/>
        </w:rPr>
        <w:t>junction with the text produces in the reader.</w:t>
      </w:r>
    </w:p>
    <w:p w:rsidR="0085263F" w:rsidRDefault="003D2D33">
      <w:pPr>
        <w:pStyle w:val="FreeForm"/>
        <w:spacing w:line="480" w:lineRule="auto"/>
        <w:rPr>
          <w:rFonts w:ascii="Times New Roman" w:eastAsia="Times New Roman" w:hAnsi="Times New Roman" w:cs="Times New Roman"/>
        </w:rPr>
      </w:pPr>
      <w:r>
        <w:rPr>
          <w:rFonts w:ascii="Times New Roman" w:eastAsia="Times New Roman" w:hAnsi="Times New Roman" w:cs="Times New Roman"/>
          <w:lang w:val="en-US"/>
        </w:rPr>
        <w:tab/>
        <w:t>In the same moment as the note declares its authority, it also demonstrates the indeterminacy of a locatable meaning. From its place in the margins the note produces difference. This difference is itself prod</w:t>
      </w:r>
      <w:r>
        <w:rPr>
          <w:rFonts w:ascii="Times New Roman" w:eastAsia="Times New Roman" w:hAnsi="Times New Roman" w:cs="Times New Roman"/>
          <w:lang w:val="en-US"/>
        </w:rPr>
        <w:t>uctive of further possible meanings. Meaning is transferred from its already ambiguous position within the primary text to a limbo position between text and commentary. The discordance between the two texts holds understanding at bay and defers meaning. Sl</w:t>
      </w:r>
      <w:r>
        <w:rPr>
          <w:rFonts w:ascii="Times New Roman" w:eastAsia="Times New Roman" w:hAnsi="Times New Roman" w:cs="Times New Roman"/>
          <w:lang w:val="en-US"/>
        </w:rPr>
        <w:t xml:space="preserve">eights argues, </w:t>
      </w:r>
      <w:r>
        <w:rPr>
          <w:rFonts w:ascii="Times New Roman" w:hAnsi="Times New Roman"/>
          <w:lang w:val="de-DE"/>
        </w:rPr>
        <w:t>“</w:t>
      </w:r>
      <w:r>
        <w:rPr>
          <w:rFonts w:ascii="Times New Roman" w:hAnsi="Times New Roman"/>
          <w:lang w:val="en-US"/>
        </w:rPr>
        <w:t>There are, of course, many other models of the relationship between side-note and centred text</w:t>
      </w:r>
      <w:r w:rsidR="005104CA">
        <w:rPr>
          <w:rFonts w:ascii="Times New Roman" w:hAnsi="Times New Roman"/>
          <w:lang w:val="en-US"/>
        </w:rPr>
        <w:t xml:space="preserve"> . . .</w:t>
      </w:r>
      <w:r>
        <w:rPr>
          <w:rFonts w:ascii="Times New Roman" w:hAnsi="Times New Roman"/>
          <w:lang w:val="en-US"/>
        </w:rPr>
        <w:t xml:space="preserve"> [One such model] finds a conversation occurring between margin and text. The dialogic tensions growing out of this conversation generate meani</w:t>
      </w:r>
      <w:r>
        <w:rPr>
          <w:rFonts w:ascii="Times New Roman" w:hAnsi="Times New Roman"/>
          <w:lang w:val="en-US"/>
        </w:rPr>
        <w:t>ngs that are not strictly resident in either place</w:t>
      </w:r>
      <w:r>
        <w:rPr>
          <w:rFonts w:ascii="Times New Roman" w:hAnsi="Times New Roman"/>
        </w:rPr>
        <w:t xml:space="preserve">” </w:t>
      </w:r>
      <w:r>
        <w:rPr>
          <w:rFonts w:ascii="Times New Roman" w:hAnsi="Times New Roman"/>
          <w:lang w:val="en-US"/>
        </w:rPr>
        <w:t xml:space="preserve">(Sleights 258). Similarly, Jacques Derrida writes, </w:t>
      </w:r>
      <w:r>
        <w:rPr>
          <w:rFonts w:ascii="Times New Roman" w:hAnsi="Times New Roman"/>
          <w:lang w:val="de-DE"/>
        </w:rPr>
        <w:t>“</w:t>
      </w:r>
      <w:r>
        <w:rPr>
          <w:rFonts w:ascii="Times New Roman" w:hAnsi="Times New Roman"/>
          <w:lang w:val="en-US"/>
        </w:rPr>
        <w:t xml:space="preserve">This time, </w:t>
      </w:r>
      <w:r>
        <w:rPr>
          <w:rFonts w:ascii="Times New Roman" w:hAnsi="Times New Roman"/>
        </w:rPr>
        <w:t>‘</w:t>
      </w:r>
      <w:r>
        <w:rPr>
          <w:rFonts w:ascii="Times New Roman" w:hAnsi="Times New Roman"/>
          <w:lang w:val="en-US"/>
        </w:rPr>
        <w:t>in other words</w:t>
      </w:r>
      <w:r>
        <w:rPr>
          <w:rFonts w:ascii="Times New Roman" w:hAnsi="Times New Roman"/>
        </w:rPr>
        <w:t xml:space="preserve">’ </w:t>
      </w:r>
      <w:r>
        <w:rPr>
          <w:rFonts w:ascii="Times New Roman" w:hAnsi="Times New Roman"/>
          <w:lang w:val="en-US"/>
        </w:rPr>
        <w:t xml:space="preserve">does not put the same thing into other words, does not clarify an ambiguous expression, does not function like an </w:t>
      </w:r>
      <w:r>
        <w:rPr>
          <w:rFonts w:ascii="Times New Roman" w:hAnsi="Times New Roman"/>
        </w:rPr>
        <w:t>‘</w:t>
      </w:r>
      <w:r>
        <w:rPr>
          <w:rFonts w:ascii="Times New Roman" w:hAnsi="Times New Roman"/>
          <w:lang w:val="it-IT"/>
        </w:rPr>
        <w:t>i.e.</w:t>
      </w:r>
      <w:r>
        <w:rPr>
          <w:rFonts w:ascii="Times New Roman" w:hAnsi="Times New Roman"/>
        </w:rPr>
        <w:t xml:space="preserve">’ </w:t>
      </w:r>
      <w:r>
        <w:rPr>
          <w:rFonts w:ascii="Times New Roman" w:hAnsi="Times New Roman"/>
          <w:lang w:val="en-US"/>
        </w:rPr>
        <w:t xml:space="preserve">It </w:t>
      </w:r>
      <w:r>
        <w:rPr>
          <w:rFonts w:ascii="Times New Roman" w:hAnsi="Times New Roman"/>
          <w:lang w:val="en-US"/>
        </w:rPr>
        <w:t>amasses the powers of indecision and adds to the foregoing utterance its capacity for skidding</w:t>
      </w:r>
      <w:r>
        <w:rPr>
          <w:rFonts w:ascii="Times New Roman" w:hAnsi="Times New Roman"/>
        </w:rPr>
        <w:t xml:space="preserve">” </w:t>
      </w:r>
      <w:r>
        <w:rPr>
          <w:rFonts w:ascii="Times New Roman" w:hAnsi="Times New Roman"/>
          <w:lang w:val="en-US"/>
        </w:rPr>
        <w:t xml:space="preserve">(Derrida 62). In this way, ultimate understanding becomes an ephemeral site, a horizonal and intertextual point that retreats even as it is approached. </w:t>
      </w:r>
    </w:p>
    <w:p w:rsidR="0085263F" w:rsidRDefault="003D2D33">
      <w:pPr>
        <w:pStyle w:val="FreeForm"/>
        <w:spacing w:line="480" w:lineRule="auto"/>
        <w:rPr>
          <w:rFonts w:ascii="Times New Roman" w:eastAsia="Times New Roman" w:hAnsi="Times New Roman" w:cs="Times New Roman"/>
        </w:rPr>
      </w:pPr>
      <w:r>
        <w:rPr>
          <w:rFonts w:ascii="Times New Roman" w:eastAsia="Times New Roman" w:hAnsi="Times New Roman" w:cs="Times New Roman"/>
          <w:lang w:val="en-US"/>
        </w:rPr>
        <w:tab/>
        <w:t>Confro</w:t>
      </w:r>
      <w:r>
        <w:rPr>
          <w:rFonts w:ascii="Times New Roman" w:eastAsia="Times New Roman" w:hAnsi="Times New Roman" w:cs="Times New Roman"/>
          <w:lang w:val="en-US"/>
        </w:rPr>
        <w:t>nted with intersecting texts and nonequivalent senses, the reader is more unsure of the text</w:t>
      </w:r>
      <w:r>
        <w:rPr>
          <w:rFonts w:ascii="Times New Roman" w:hAnsi="Times New Roman"/>
        </w:rPr>
        <w:t>’</w:t>
      </w:r>
      <w:r>
        <w:rPr>
          <w:rFonts w:ascii="Times New Roman" w:hAnsi="Times New Roman"/>
          <w:lang w:val="en-US"/>
        </w:rPr>
        <w:t>s meaning than at the start. And yet, as the note differentiates and disperses meaning, the reader</w:t>
      </w:r>
      <w:r>
        <w:rPr>
          <w:rFonts w:ascii="Times New Roman" w:hAnsi="Times New Roman"/>
        </w:rPr>
        <w:t>’</w:t>
      </w:r>
      <w:r>
        <w:rPr>
          <w:rFonts w:ascii="Times New Roman" w:hAnsi="Times New Roman"/>
          <w:lang w:val="en-US"/>
        </w:rPr>
        <w:t>s necessity for understanding is all the more urgent. For this r</w:t>
      </w:r>
      <w:r>
        <w:rPr>
          <w:rFonts w:ascii="Times New Roman" w:hAnsi="Times New Roman"/>
          <w:lang w:val="en-US"/>
        </w:rPr>
        <w:t xml:space="preserve">eason, </w:t>
      </w:r>
      <w:r w:rsidR="005104CA">
        <w:rPr>
          <w:rFonts w:ascii="Times New Roman" w:hAnsi="Times New Roman"/>
          <w:lang w:val="en-US"/>
        </w:rPr>
        <w:t>the reader</w:t>
      </w:r>
      <w:r>
        <w:rPr>
          <w:rFonts w:ascii="Times New Roman" w:hAnsi="Times New Roman"/>
          <w:lang w:val="en-US"/>
        </w:rPr>
        <w:t xml:space="preserve"> is compelled to choose it. Subsequently, textual authority rests increasingly in the reader</w:t>
      </w:r>
      <w:r>
        <w:rPr>
          <w:rFonts w:ascii="Times New Roman" w:hAnsi="Times New Roman"/>
        </w:rPr>
        <w:t>’</w:t>
      </w:r>
      <w:r>
        <w:rPr>
          <w:rFonts w:ascii="Times New Roman" w:hAnsi="Times New Roman"/>
          <w:lang w:val="en-US"/>
        </w:rPr>
        <w:t xml:space="preserve">s own </w:t>
      </w:r>
      <w:r>
        <w:rPr>
          <w:rFonts w:ascii="Times New Roman" w:hAnsi="Times New Roman"/>
          <w:lang w:val="en-US"/>
        </w:rPr>
        <w:lastRenderedPageBreak/>
        <w:t>interpretative selection. The note</w:t>
      </w:r>
      <w:r>
        <w:rPr>
          <w:rFonts w:ascii="Times New Roman" w:hAnsi="Times New Roman"/>
        </w:rPr>
        <w:t>’</w:t>
      </w:r>
      <w:r>
        <w:rPr>
          <w:rFonts w:ascii="Times New Roman" w:hAnsi="Times New Roman"/>
          <w:lang w:val="en-US"/>
        </w:rPr>
        <w:t>s overdetermination of meaning attempts to fix meaning within</w:t>
      </w:r>
      <w:r>
        <w:rPr>
          <w:rFonts w:ascii="Times New Roman" w:hAnsi="Times New Roman"/>
          <w:i/>
          <w:iCs/>
        </w:rPr>
        <w:t xml:space="preserve"> </w:t>
      </w:r>
      <w:r>
        <w:rPr>
          <w:rFonts w:ascii="Times New Roman" w:hAnsi="Times New Roman"/>
          <w:lang w:val="en-US"/>
        </w:rPr>
        <w:t>an elusive text</w:t>
      </w:r>
      <w:r>
        <w:rPr>
          <w:rFonts w:ascii="Times New Roman" w:hAnsi="Times New Roman"/>
          <w:lang w:val="en-US"/>
        </w:rPr>
        <w:t xml:space="preserve"> and yet constitutes a second text </w:t>
      </w:r>
      <w:r>
        <w:rPr>
          <w:rFonts w:ascii="Times New Roman" w:hAnsi="Times New Roman"/>
          <w:lang w:val="en-US"/>
        </w:rPr>
        <w:t>productive of its own independent meaning that also functions in juxtaposition to its primary textual counterpart. Between the central and marginal texts</w:t>
      </w:r>
      <w:r w:rsidR="005104CA">
        <w:rPr>
          <w:rFonts w:ascii="Times New Roman" w:hAnsi="Times New Roman"/>
          <w:lang w:val="en-US"/>
        </w:rPr>
        <w:t>,</w:t>
      </w:r>
      <w:r>
        <w:rPr>
          <w:rFonts w:ascii="Times New Roman" w:hAnsi="Times New Roman"/>
          <w:lang w:val="en-US"/>
        </w:rPr>
        <w:t xml:space="preserve"> a dialogue transpires, which in conjunction with other footnotes and passages, produces a cacophony of</w:t>
      </w:r>
      <w:r>
        <w:rPr>
          <w:rFonts w:ascii="Times New Roman" w:hAnsi="Times New Roman"/>
          <w:lang w:val="en-US"/>
        </w:rPr>
        <w:t xml:space="preserve"> voices from which the reader may determine the most appropriate understanding. While the commentary attempts to eradicate ambiguity with a clear and certain reading, what emerges is a critical debate with more than a slight semblance of democracy.</w:t>
      </w:r>
    </w:p>
    <w:p w:rsidR="0085263F" w:rsidRDefault="003D2D33">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In the</w:t>
      </w:r>
      <w:r>
        <w:rPr>
          <w:rFonts w:ascii="Times New Roman" w:eastAsia="Times New Roman" w:hAnsi="Times New Roman" w:cs="Times New Roman"/>
        </w:rPr>
        <w:t>ir different ways, the Geneva and King James bibles each attempt to govern both the text and the reader. Through their respective approaches to marginal annotation they each aim to produce specific relationships between text and reader. While the Geneva an</w:t>
      </w:r>
      <w:r>
        <w:rPr>
          <w:rFonts w:ascii="Times New Roman" w:eastAsia="Times New Roman" w:hAnsi="Times New Roman" w:cs="Times New Roman"/>
        </w:rPr>
        <w:t xml:space="preserve">notations aim for a clarified text which the reader can come to know and understand, the KJV endeavors to produce a text whose mystery the reader will both revere and submit to. First John 2:20-22 reads, </w:t>
      </w:r>
      <w:r>
        <w:rPr>
          <w:rFonts w:ascii="Times New Roman" w:hAnsi="Times New Roman"/>
          <w:lang w:val="de-DE"/>
        </w:rPr>
        <w:t>“</w:t>
      </w:r>
      <w:r>
        <w:rPr>
          <w:rFonts w:ascii="Times New Roman" w:hAnsi="Times New Roman"/>
        </w:rPr>
        <w:t>But ye have an unction from the holy One, and ye kn</w:t>
      </w:r>
      <w:r>
        <w:rPr>
          <w:rFonts w:ascii="Times New Roman" w:hAnsi="Times New Roman"/>
        </w:rPr>
        <w:t>ow all things. I have not written onto to you, because yee know not the truth: but because ye know it, and that no lie is of the truth. Who is a lier, but hee that denieth that Jesus is the Christ: hee is Antichrist, that denyeth the Father, and the Sonne</w:t>
      </w:r>
      <w:r>
        <w:rPr>
          <w:rFonts w:ascii="Times New Roman" w:hAnsi="Times New Roman"/>
        </w:rPr>
        <w:t>”</w:t>
      </w:r>
      <w:r>
        <w:rPr>
          <w:rFonts w:ascii="Times New Roman" w:hAnsi="Times New Roman"/>
        </w:rPr>
        <w:t xml:space="preserve"> </w:t>
      </w:r>
      <w:r>
        <w:rPr>
          <w:rFonts w:ascii="Times New Roman" w:hAnsi="Times New Roman"/>
        </w:rPr>
        <w:t>(KJV 1 John 2:20-22). John addresses his reader as one already with the grace of God who is therefore already imbued with an intuitive sense of all things true. Where one knows the single truth of Christ</w:t>
      </w:r>
      <w:r w:rsidR="004A76C3">
        <w:rPr>
          <w:rFonts w:ascii="Times New Roman" w:hAnsi="Times New Roman"/>
        </w:rPr>
        <w:t>,</w:t>
      </w:r>
      <w:r>
        <w:rPr>
          <w:rFonts w:ascii="Times New Roman" w:hAnsi="Times New Roman"/>
        </w:rPr>
        <w:t xml:space="preserve"> one also knows all truths. In this way</w:t>
      </w:r>
      <w:r w:rsidR="004A76C3">
        <w:rPr>
          <w:rFonts w:ascii="Times New Roman" w:hAnsi="Times New Roman"/>
        </w:rPr>
        <w:t>,</w:t>
      </w:r>
      <w:r>
        <w:rPr>
          <w:rFonts w:ascii="Times New Roman" w:hAnsi="Times New Roman"/>
        </w:rPr>
        <w:t xml:space="preserve"> knowledge, t</w:t>
      </w:r>
      <w:r>
        <w:rPr>
          <w:rFonts w:ascii="Times New Roman" w:hAnsi="Times New Roman"/>
        </w:rPr>
        <w:t>ruth and</w:t>
      </w:r>
      <w:r w:rsidR="004A76C3">
        <w:rPr>
          <w:rFonts w:ascii="Times New Roman" w:hAnsi="Times New Roman"/>
        </w:rPr>
        <w:t>,</w:t>
      </w:r>
      <w:r>
        <w:rPr>
          <w:rFonts w:ascii="Times New Roman" w:hAnsi="Times New Roman"/>
        </w:rPr>
        <w:t xml:space="preserve"> oneness are equivalencies. John writes not of truth but to warn against the disruption of unity. As the Father cannot be separated from the Son nor Christ as man from Christ as Spirit, a liar becomes one who disrupts unity or produces difference. </w:t>
      </w:r>
      <w:r>
        <w:rPr>
          <w:rFonts w:ascii="Times New Roman" w:hAnsi="Times New Roman"/>
        </w:rPr>
        <w:t xml:space="preserve">The Geneva notes, </w:t>
      </w:r>
      <w:r>
        <w:rPr>
          <w:rFonts w:ascii="Times New Roman" w:hAnsi="Times New Roman"/>
          <w:lang w:val="de-DE"/>
        </w:rPr>
        <w:t>“</w:t>
      </w:r>
      <w:r>
        <w:rPr>
          <w:rFonts w:ascii="Times New Roman" w:hAnsi="Times New Roman"/>
        </w:rPr>
        <w:t>He that taketh away or diminisheth ether of the natures in Christ or he that confoundeth or separateth them els he that putteth not difference betwene the persone of the Sonne [</w:t>
      </w:r>
      <w:r>
        <w:rPr>
          <w:rFonts w:ascii="Times New Roman" w:hAnsi="Times New Roman"/>
        </w:rPr>
        <w:t>…</w:t>
      </w:r>
      <w:r>
        <w:rPr>
          <w:rFonts w:ascii="Times New Roman" w:hAnsi="Times New Roman"/>
        </w:rPr>
        <w:t>] denieth Christ to be Messias</w:t>
      </w:r>
      <w:r>
        <w:rPr>
          <w:rFonts w:ascii="Times New Roman" w:hAnsi="Times New Roman"/>
        </w:rPr>
        <w:t xml:space="preserve">” </w:t>
      </w:r>
      <w:r>
        <w:rPr>
          <w:rFonts w:ascii="Times New Roman" w:hAnsi="Times New Roman"/>
        </w:rPr>
        <w:lastRenderedPageBreak/>
        <w:t>(Geneva 1 John 2:22). Where</w:t>
      </w:r>
      <w:r>
        <w:rPr>
          <w:rFonts w:ascii="Times New Roman" w:hAnsi="Times New Roman"/>
        </w:rPr>
        <w:t xml:space="preserve"> the note</w:t>
      </w:r>
      <w:r>
        <w:rPr>
          <w:rFonts w:ascii="Times New Roman" w:hAnsi="Times New Roman"/>
        </w:rPr>
        <w:t>’</w:t>
      </w:r>
      <w:r>
        <w:rPr>
          <w:rFonts w:ascii="Times New Roman" w:hAnsi="Times New Roman"/>
        </w:rPr>
        <w:t>s content admonishes the diminishing, confounding</w:t>
      </w:r>
      <w:r w:rsidR="004A76C3">
        <w:rPr>
          <w:rFonts w:ascii="Times New Roman" w:hAnsi="Times New Roman"/>
        </w:rPr>
        <w:t>,</w:t>
      </w:r>
      <w:r>
        <w:rPr>
          <w:rFonts w:ascii="Times New Roman" w:hAnsi="Times New Roman"/>
        </w:rPr>
        <w:t xml:space="preserve"> or splitting of Christ</w:t>
      </w:r>
      <w:r>
        <w:rPr>
          <w:rFonts w:ascii="Times New Roman" w:hAnsi="Times New Roman"/>
        </w:rPr>
        <w:t>’</w:t>
      </w:r>
      <w:r>
        <w:rPr>
          <w:rFonts w:ascii="Times New Roman" w:hAnsi="Times New Roman"/>
        </w:rPr>
        <w:t>s singularity, the note performs these actions upon the text on a structural level. The note separates the material of the text from its meaning. It interferes in the reader</w:t>
      </w:r>
      <w:r>
        <w:rPr>
          <w:rFonts w:ascii="Times New Roman" w:hAnsi="Times New Roman"/>
        </w:rPr>
        <w:t>’</w:t>
      </w:r>
      <w:r>
        <w:rPr>
          <w:rFonts w:ascii="Times New Roman" w:hAnsi="Times New Roman"/>
        </w:rPr>
        <w:t>s relationship with the text. It disrupts the meditative experience and confounds the sense of the text. As it does, the note enables the reader</w:t>
      </w:r>
      <w:r>
        <w:rPr>
          <w:rFonts w:ascii="Times New Roman" w:hAnsi="Times New Roman"/>
        </w:rPr>
        <w:t>’</w:t>
      </w:r>
      <w:r>
        <w:rPr>
          <w:rFonts w:ascii="Times New Roman" w:hAnsi="Times New Roman"/>
        </w:rPr>
        <w:t xml:space="preserve">s involvement in the production of meaning. William H. Sherman writes, </w:t>
      </w:r>
      <w:r>
        <w:rPr>
          <w:rFonts w:ascii="Times New Roman" w:hAnsi="Times New Roman"/>
          <w:lang w:val="de-DE"/>
        </w:rPr>
        <w:t>“</w:t>
      </w:r>
      <w:r>
        <w:rPr>
          <w:rFonts w:ascii="Times New Roman" w:hAnsi="Times New Roman"/>
        </w:rPr>
        <w:t xml:space="preserve">instead of leaving these mysteries to </w:t>
      </w:r>
      <w:r>
        <w:rPr>
          <w:rFonts w:ascii="Times New Roman" w:hAnsi="Times New Roman"/>
        </w:rPr>
        <w:t>the mediation of a carefully directed priesthood</w:t>
      </w:r>
      <w:r w:rsidR="004A76C3">
        <w:rPr>
          <w:rFonts w:ascii="Times New Roman" w:hAnsi="Times New Roman"/>
        </w:rPr>
        <w:t>—</w:t>
      </w:r>
      <w:r>
        <w:rPr>
          <w:rFonts w:ascii="Times New Roman" w:hAnsi="Times New Roman"/>
        </w:rPr>
        <w:t>these notes served to advance one doctrinal position over others and even gave some interpretative license to the reader</w:t>
      </w:r>
      <w:r>
        <w:rPr>
          <w:rFonts w:ascii="Times New Roman" w:hAnsi="Times New Roman"/>
        </w:rPr>
        <w:t xml:space="preserve">” </w:t>
      </w:r>
      <w:r>
        <w:rPr>
          <w:rFonts w:ascii="Times New Roman" w:hAnsi="Times New Roman"/>
        </w:rPr>
        <w:t>(Sherman 126). In this way, the employment or refusal of annotation in the Geneva an</w:t>
      </w:r>
      <w:r>
        <w:rPr>
          <w:rFonts w:ascii="Times New Roman" w:hAnsi="Times New Roman"/>
        </w:rPr>
        <w:t>d King James versions demonstrates two fundamentally different intentions for the text.</w:t>
      </w:r>
    </w:p>
    <w:p w:rsidR="0085263F" w:rsidRDefault="003D2D33">
      <w:pPr>
        <w:pStyle w:val="FreeForm"/>
        <w:spacing w:line="480" w:lineRule="auto"/>
        <w:rPr>
          <w:rFonts w:ascii="Times New Roman" w:eastAsia="Times New Roman" w:hAnsi="Times New Roman" w:cs="Times New Roman"/>
        </w:rPr>
      </w:pPr>
      <w:r>
        <w:rPr>
          <w:rFonts w:ascii="Times New Roman" w:eastAsia="Times New Roman" w:hAnsi="Times New Roman" w:cs="Times New Roman"/>
          <w:lang w:val="en-US"/>
        </w:rPr>
        <w:tab/>
      </w:r>
      <w:r w:rsidR="004A76C3">
        <w:rPr>
          <w:rFonts w:ascii="Times New Roman" w:eastAsia="Times New Roman" w:hAnsi="Times New Roman" w:cs="Times New Roman"/>
          <w:lang w:val="en-US"/>
        </w:rPr>
        <w:t>While</w:t>
      </w:r>
      <w:r>
        <w:rPr>
          <w:rFonts w:ascii="Times New Roman" w:eastAsia="Times New Roman" w:hAnsi="Times New Roman" w:cs="Times New Roman"/>
          <w:lang w:val="en-US"/>
        </w:rPr>
        <w:t xml:space="preserve"> early English bibles sought to manage textual uncertainty with marginal annotation, the KJV employs scriptural ambiguity as a means to promote readerly faith and</w:t>
      </w:r>
      <w:r>
        <w:rPr>
          <w:rFonts w:ascii="Times New Roman" w:eastAsia="Times New Roman" w:hAnsi="Times New Roman" w:cs="Times New Roman"/>
          <w:lang w:val="en-US"/>
        </w:rPr>
        <w:t xml:space="preserve"> submission to the text. This faith and submission extends itself both to James and God. Despite their intended purpose, the marginal notes in these earlier bibles contributed both to further scriptural indeterminacy and an enabling reader agency. The KJV,</w:t>
      </w:r>
      <w:r>
        <w:rPr>
          <w:rFonts w:ascii="Times New Roman" w:eastAsia="Times New Roman" w:hAnsi="Times New Roman" w:cs="Times New Roman"/>
          <w:lang w:val="en-US"/>
        </w:rPr>
        <w:t xml:space="preserve"> like its predecessors, intends its textual authority not to be disturbed. However, unlike those bibles, the KJV proffers the reader</w:t>
      </w:r>
      <w:r>
        <w:rPr>
          <w:rFonts w:ascii="Times New Roman" w:hAnsi="Times New Roman"/>
        </w:rPr>
        <w:t>’</w:t>
      </w:r>
      <w:r>
        <w:rPr>
          <w:rFonts w:ascii="Times New Roman" w:hAnsi="Times New Roman"/>
          <w:lang w:val="en-US"/>
        </w:rPr>
        <w:t>s own textual doubt as scriptural mystery. In this way, ambiguity comes to remind the reader of his station beneath both Go</w:t>
      </w:r>
      <w:r>
        <w:rPr>
          <w:rFonts w:ascii="Times New Roman" w:hAnsi="Times New Roman"/>
          <w:lang w:val="en-US"/>
        </w:rPr>
        <w:t xml:space="preserve">d and the King. The KJV </w:t>
      </w:r>
      <w:r>
        <w:rPr>
          <w:rFonts w:ascii="Times New Roman" w:hAnsi="Times New Roman"/>
          <w:lang w:val="de-DE"/>
        </w:rPr>
        <w:t>“</w:t>
      </w:r>
      <w:r>
        <w:rPr>
          <w:rFonts w:ascii="Times New Roman" w:hAnsi="Times New Roman"/>
          <w:lang w:val="fr-FR"/>
        </w:rPr>
        <w:t>Preface</w:t>
      </w:r>
      <w:r>
        <w:rPr>
          <w:rFonts w:ascii="Times New Roman" w:hAnsi="Times New Roman"/>
        </w:rPr>
        <w:t xml:space="preserve">” </w:t>
      </w:r>
      <w:r>
        <w:rPr>
          <w:rFonts w:ascii="Times New Roman" w:hAnsi="Times New Roman"/>
          <w:lang w:val="en-US"/>
        </w:rPr>
        <w:t xml:space="preserve">reads, </w:t>
      </w:r>
    </w:p>
    <w:p w:rsidR="0085263F" w:rsidRDefault="003D2D33">
      <w:pPr>
        <w:pStyle w:val="FreeForm"/>
        <w:ind w:left="720" w:right="720"/>
        <w:rPr>
          <w:rFonts w:ascii="Times" w:eastAsia="Times" w:hAnsi="Times" w:cs="Times"/>
        </w:rPr>
      </w:pPr>
      <w:r>
        <w:rPr>
          <w:rFonts w:ascii="Times" w:hAnsi="Times"/>
          <w:lang w:val="en-US"/>
        </w:rPr>
        <w:t xml:space="preserve">Now in such a case, doeth not a margine do well to admonish the Reader to seek further, and not to conclude or dogmatize upon this or that peremptorily? For as it is a fault of incredulitie, to doubt of those </w:t>
      </w:r>
      <w:r>
        <w:rPr>
          <w:rFonts w:ascii="Times" w:hAnsi="Times"/>
          <w:lang w:val="en-US"/>
        </w:rPr>
        <w:t>things that are evident: so to determine of such things as the Spirit of God hath left (even in the judgment of the judicious) questionable, can be no lesse then presumption. (Opfell 159)</w:t>
      </w:r>
    </w:p>
    <w:p w:rsidR="0085263F" w:rsidRDefault="0085263F">
      <w:pPr>
        <w:pStyle w:val="FreeForm"/>
        <w:ind w:left="720" w:right="720"/>
        <w:rPr>
          <w:rFonts w:ascii="Times New Roman" w:eastAsia="Times New Roman" w:hAnsi="Times New Roman" w:cs="Times New Roman"/>
        </w:rPr>
      </w:pPr>
    </w:p>
    <w:p w:rsidR="0085263F" w:rsidRDefault="003D2D33">
      <w:pPr>
        <w:pStyle w:val="FreeForm"/>
        <w:spacing w:line="480" w:lineRule="auto"/>
        <w:rPr>
          <w:rFonts w:ascii="Times New Roman" w:eastAsia="Times New Roman" w:hAnsi="Times New Roman" w:cs="Times New Roman"/>
        </w:rPr>
      </w:pPr>
      <w:r>
        <w:rPr>
          <w:rFonts w:ascii="Times" w:hAnsi="Times"/>
          <w:lang w:val="en-US"/>
        </w:rPr>
        <w:t>Readerly submission is privileged over textual certainty. The blank</w:t>
      </w:r>
      <w:r>
        <w:rPr>
          <w:rFonts w:ascii="Times" w:hAnsi="Times"/>
          <w:lang w:val="en-US"/>
        </w:rPr>
        <w:t xml:space="preserve"> margins of the KJV rebuke the reader and the presumption of </w:t>
      </w:r>
      <w:r w:rsidR="00B77122">
        <w:rPr>
          <w:rFonts w:ascii="Times" w:hAnsi="Times"/>
          <w:lang w:val="en-US"/>
        </w:rPr>
        <w:t>their</w:t>
      </w:r>
      <w:r>
        <w:rPr>
          <w:rFonts w:ascii="Times" w:hAnsi="Times"/>
          <w:lang w:val="en-US"/>
        </w:rPr>
        <w:t xml:space="preserve"> request for clarification upon God</w:t>
      </w:r>
      <w:r>
        <w:rPr>
          <w:rFonts w:ascii="Times" w:hAnsi="Times"/>
        </w:rPr>
        <w:t>’</w:t>
      </w:r>
      <w:r>
        <w:rPr>
          <w:rFonts w:ascii="Times" w:hAnsi="Times"/>
        </w:rPr>
        <w:t xml:space="preserve">s text. </w:t>
      </w:r>
      <w:r>
        <w:rPr>
          <w:rFonts w:ascii="Times New Roman" w:hAnsi="Times New Roman"/>
          <w:lang w:val="en-US"/>
        </w:rPr>
        <w:t xml:space="preserve">Where the sense </w:t>
      </w:r>
      <w:r>
        <w:rPr>
          <w:rFonts w:ascii="Times New Roman" w:hAnsi="Times New Roman"/>
          <w:lang w:val="en-US"/>
        </w:rPr>
        <w:lastRenderedPageBreak/>
        <w:t xml:space="preserve">of the text is in doubt, it is meant to </w:t>
      </w:r>
      <w:r>
        <w:rPr>
          <w:rFonts w:ascii="Times New Roman" w:hAnsi="Times New Roman"/>
          <w:lang w:val="de-DE"/>
        </w:rPr>
        <w:t>“</w:t>
      </w:r>
      <w:r>
        <w:rPr>
          <w:rFonts w:ascii="Times New Roman" w:hAnsi="Times New Roman"/>
          <w:lang w:val="en-US"/>
        </w:rPr>
        <w:t>stir up our devotion to crave the assistance of Gods spirit by prayer</w:t>
      </w:r>
      <w:r>
        <w:rPr>
          <w:rFonts w:ascii="Times New Roman" w:hAnsi="Times New Roman"/>
        </w:rPr>
        <w:t xml:space="preserve">” </w:t>
      </w:r>
      <w:r>
        <w:rPr>
          <w:rFonts w:ascii="Times New Roman" w:hAnsi="Times New Roman"/>
          <w:lang w:val="en-US"/>
        </w:rPr>
        <w:t>(159). The reader mu</w:t>
      </w:r>
      <w:r>
        <w:rPr>
          <w:rFonts w:ascii="Times New Roman" w:hAnsi="Times New Roman"/>
          <w:lang w:val="en-US"/>
        </w:rPr>
        <w:t xml:space="preserve">st either search elsewhere in the text for clarification or appeal to God through prayer. In this way, the meditative experience of the text is maintained and an appeal to authority is introduced. The </w:t>
      </w:r>
      <w:r>
        <w:rPr>
          <w:rFonts w:ascii="Times New Roman" w:hAnsi="Times New Roman"/>
          <w:lang w:val="de-DE"/>
        </w:rPr>
        <w:t>“</w:t>
      </w:r>
      <w:r>
        <w:rPr>
          <w:rFonts w:ascii="Times New Roman" w:hAnsi="Times New Roman"/>
          <w:lang w:val="fr-FR"/>
        </w:rPr>
        <w:t>Preface</w:t>
      </w:r>
      <w:r>
        <w:rPr>
          <w:rFonts w:ascii="Times New Roman" w:hAnsi="Times New Roman"/>
        </w:rPr>
        <w:t xml:space="preserve">” </w:t>
      </w:r>
      <w:r>
        <w:rPr>
          <w:rFonts w:ascii="Times New Roman" w:hAnsi="Times New Roman"/>
          <w:lang w:val="en-US"/>
        </w:rPr>
        <w:t xml:space="preserve">and the lack of annotation remind the reader </w:t>
      </w:r>
      <w:r>
        <w:rPr>
          <w:rFonts w:ascii="Times New Roman" w:hAnsi="Times New Roman"/>
          <w:lang w:val="en-US"/>
        </w:rPr>
        <w:t xml:space="preserve">that the world is not </w:t>
      </w:r>
      <w:r w:rsidR="004A76C3">
        <w:rPr>
          <w:rFonts w:ascii="Times New Roman" w:hAnsi="Times New Roman"/>
          <w:lang w:val="en-US"/>
        </w:rPr>
        <w:t>theirs</w:t>
      </w:r>
      <w:r>
        <w:rPr>
          <w:rFonts w:ascii="Times New Roman" w:hAnsi="Times New Roman"/>
          <w:lang w:val="en-US"/>
        </w:rPr>
        <w:t xml:space="preserve"> to understand and demands that </w:t>
      </w:r>
      <w:r w:rsidR="004A76C3">
        <w:rPr>
          <w:rFonts w:ascii="Times New Roman" w:hAnsi="Times New Roman"/>
          <w:lang w:val="en-US"/>
        </w:rPr>
        <w:t>they</w:t>
      </w:r>
      <w:r>
        <w:rPr>
          <w:rFonts w:ascii="Times New Roman" w:hAnsi="Times New Roman"/>
          <w:lang w:val="en-US"/>
        </w:rPr>
        <w:t xml:space="preserve"> submit to </w:t>
      </w:r>
      <w:r w:rsidR="004A76C3">
        <w:rPr>
          <w:rFonts w:ascii="Times New Roman" w:hAnsi="Times New Roman"/>
          <w:lang w:val="en-US"/>
        </w:rPr>
        <w:t>their</w:t>
      </w:r>
      <w:r>
        <w:rPr>
          <w:rFonts w:ascii="Times New Roman" w:hAnsi="Times New Roman"/>
          <w:lang w:val="en-US"/>
        </w:rPr>
        <w:t xml:space="preserve"> station within the great chain of being. As the reader concedes the scriptural mystery, </w:t>
      </w:r>
      <w:r w:rsidR="004A76C3">
        <w:rPr>
          <w:rFonts w:ascii="Times New Roman" w:hAnsi="Times New Roman"/>
          <w:lang w:val="en-US"/>
        </w:rPr>
        <w:t>they</w:t>
      </w:r>
      <w:r>
        <w:rPr>
          <w:rFonts w:ascii="Times New Roman" w:hAnsi="Times New Roman"/>
          <w:lang w:val="en-US"/>
        </w:rPr>
        <w:t xml:space="preserve"> also submit</w:t>
      </w:r>
      <w:r>
        <w:rPr>
          <w:rFonts w:ascii="Times New Roman" w:hAnsi="Times New Roman"/>
          <w:lang w:val="en-US"/>
        </w:rPr>
        <w:t xml:space="preserve"> to the command of both God and King. In this way, the KJV uses the reader</w:t>
      </w:r>
      <w:r>
        <w:rPr>
          <w:rFonts w:ascii="Times New Roman" w:hAnsi="Times New Roman"/>
        </w:rPr>
        <w:t>’</w:t>
      </w:r>
      <w:r>
        <w:rPr>
          <w:rFonts w:ascii="Times New Roman" w:hAnsi="Times New Roman"/>
          <w:lang w:val="en-US"/>
        </w:rPr>
        <w:t>s sc</w:t>
      </w:r>
      <w:r>
        <w:rPr>
          <w:rFonts w:ascii="Times New Roman" w:hAnsi="Times New Roman"/>
          <w:lang w:val="en-US"/>
        </w:rPr>
        <w:t>riptural uncertainty to reinforce James</w:t>
      </w:r>
      <w:r>
        <w:rPr>
          <w:rFonts w:ascii="Times New Roman" w:hAnsi="Times New Roman"/>
        </w:rPr>
        <w:t>’</w:t>
      </w:r>
      <w:r>
        <w:rPr>
          <w:rFonts w:ascii="Times New Roman" w:hAnsi="Times New Roman"/>
          <w:lang w:val="fr-FR"/>
        </w:rPr>
        <w:t>s absolutism.</w:t>
      </w:r>
    </w:p>
    <w:p w:rsidR="0085263F" w:rsidRDefault="003D2D33">
      <w:pPr>
        <w:pStyle w:val="FreeForm"/>
        <w:spacing w:line="480" w:lineRule="auto"/>
        <w:rPr>
          <w:rFonts w:ascii="Times" w:eastAsia="Times" w:hAnsi="Times" w:cs="Times"/>
        </w:rPr>
      </w:pPr>
      <w:r>
        <w:rPr>
          <w:rFonts w:ascii="Times" w:eastAsia="Times" w:hAnsi="Times" w:cs="Times"/>
          <w:lang w:val="en-US"/>
        </w:rPr>
        <w:tab/>
        <w:t>If the proliferation of marginal notes in the Geneva Bible disseminates meaning, dispersing and disseminating textual and political authority, the removal of marginal notes in the King James Version co</w:t>
      </w:r>
      <w:r>
        <w:rPr>
          <w:rFonts w:ascii="Times" w:eastAsia="Times" w:hAnsi="Times" w:cs="Times"/>
          <w:lang w:val="en-US"/>
        </w:rPr>
        <w:t xml:space="preserve">nstitutes a consolidation of meaning. Adam Nicholson writes, </w:t>
      </w:r>
      <w:r>
        <w:rPr>
          <w:rFonts w:ascii="Times" w:hAnsi="Times"/>
          <w:lang w:val="de-DE"/>
        </w:rPr>
        <w:t>“</w:t>
      </w:r>
      <w:r>
        <w:rPr>
          <w:rFonts w:ascii="Times" w:hAnsi="Times"/>
          <w:lang w:val="en-US"/>
        </w:rPr>
        <w:t>The bible was to become a part of the new royal ideology</w:t>
      </w:r>
      <w:r>
        <w:rPr>
          <w:rFonts w:ascii="Times" w:hAnsi="Times"/>
        </w:rPr>
        <w:t xml:space="preserve">” </w:t>
      </w:r>
      <w:r>
        <w:rPr>
          <w:rFonts w:ascii="Times" w:hAnsi="Times"/>
          <w:lang w:val="en-US"/>
        </w:rPr>
        <w:t>(Nicholson 66). If there was to be no separation of King, land, state</w:t>
      </w:r>
      <w:r w:rsidR="004A76C3">
        <w:rPr>
          <w:rFonts w:ascii="Times" w:hAnsi="Times"/>
          <w:lang w:val="en-US"/>
        </w:rPr>
        <w:t>,</w:t>
      </w:r>
      <w:r>
        <w:rPr>
          <w:rFonts w:ascii="Times" w:hAnsi="Times"/>
          <w:lang w:val="en-US"/>
        </w:rPr>
        <w:t xml:space="preserve"> and Church</w:t>
      </w:r>
      <w:r w:rsidR="004A76C3">
        <w:rPr>
          <w:rFonts w:ascii="Times" w:hAnsi="Times"/>
          <w:lang w:val="en-US"/>
        </w:rPr>
        <w:t>,</w:t>
      </w:r>
      <w:r>
        <w:rPr>
          <w:rFonts w:ascii="Times" w:hAnsi="Times"/>
          <w:lang w:val="en-US"/>
        </w:rPr>
        <w:t xml:space="preserve"> </w:t>
      </w:r>
      <w:r w:rsidR="004A76C3">
        <w:rPr>
          <w:rFonts w:ascii="Times" w:hAnsi="Times"/>
          <w:lang w:val="en-US"/>
        </w:rPr>
        <w:t>then</w:t>
      </w:r>
      <w:r>
        <w:rPr>
          <w:rFonts w:ascii="Times" w:hAnsi="Times"/>
          <w:lang w:val="en-US"/>
        </w:rPr>
        <w:t xml:space="preserve"> there was no longer any division between King and </w:t>
      </w:r>
      <w:r>
        <w:rPr>
          <w:rFonts w:ascii="Times" w:hAnsi="Times"/>
          <w:lang w:val="en-US"/>
        </w:rPr>
        <w:t xml:space="preserve">text. Rather writes, </w:t>
      </w:r>
    </w:p>
    <w:p w:rsidR="0085263F" w:rsidRDefault="003D2D33">
      <w:pPr>
        <w:pStyle w:val="FreeForm"/>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Times New Roman" w:eastAsia="Times New Roman" w:hAnsi="Times New Roman" w:cs="Times New Roman"/>
        </w:rPr>
      </w:pPr>
      <w:r>
        <w:rPr>
          <w:rFonts w:ascii="Verdana" w:hAnsi="Verdana"/>
          <w:sz w:val="18"/>
          <w:szCs w:val="18"/>
        </w:rPr>
        <w:t>J</w:t>
      </w:r>
      <w:r>
        <w:rPr>
          <w:rFonts w:ascii="Times New Roman" w:hAnsi="Times New Roman"/>
          <w:lang w:val="en-US"/>
        </w:rPr>
        <w:t>ames did not deny that the Bible was the word of God, but he did recognize that the way that word was interpreted, translated, and commented upon had bearing on his rule and the very notion of monarchy and the authority of the state.</w:t>
      </w:r>
      <w:r>
        <w:rPr>
          <w:rFonts w:ascii="Times New Roman" w:hAnsi="Times New Roman"/>
          <w:lang w:val="en-US"/>
        </w:rPr>
        <w:t xml:space="preserve"> It is almost impossible to support the argument that James, a ruler that would claim godhood under God, could commission a translation of the Bible without that belief somehow seeping into the text. (Rather 6)</w:t>
      </w:r>
    </w:p>
    <w:p w:rsidR="0085263F" w:rsidRDefault="0085263F">
      <w:pPr>
        <w:pStyle w:val="FreeForm"/>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sz w:val="18"/>
          <w:szCs w:val="18"/>
        </w:rPr>
      </w:pPr>
    </w:p>
    <w:p w:rsidR="0085263F" w:rsidRDefault="003D2D33">
      <w:pPr>
        <w:pStyle w:val="FreeForm"/>
        <w:spacing w:line="480" w:lineRule="auto"/>
        <w:rPr>
          <w:rFonts w:ascii="Times" w:eastAsia="Times" w:hAnsi="Times" w:cs="Times"/>
        </w:rPr>
      </w:pPr>
      <w:r>
        <w:rPr>
          <w:rFonts w:ascii="Times" w:hAnsi="Times"/>
          <w:lang w:val="en-US"/>
        </w:rPr>
        <w:t>The King James Version presents itself as Ja</w:t>
      </w:r>
      <w:r>
        <w:rPr>
          <w:rFonts w:ascii="Times" w:hAnsi="Times"/>
          <w:lang w:val="en-US"/>
        </w:rPr>
        <w:t>mes intended his rule. It intends to stand alone</w:t>
      </w:r>
      <w:r w:rsidR="004A76C3">
        <w:rPr>
          <w:rFonts w:ascii="Times" w:hAnsi="Times"/>
          <w:lang w:val="en-US"/>
        </w:rPr>
        <w:t>—</w:t>
      </w:r>
      <w:r>
        <w:rPr>
          <w:rFonts w:ascii="Times" w:hAnsi="Times"/>
          <w:lang w:val="en-US"/>
        </w:rPr>
        <w:t>absolute with no need of commentary to elucidate, interpret, support, exemplify</w:t>
      </w:r>
      <w:r w:rsidR="004A76C3">
        <w:rPr>
          <w:rFonts w:ascii="Times" w:hAnsi="Times"/>
          <w:lang w:val="en-US"/>
        </w:rPr>
        <w:t>,</w:t>
      </w:r>
      <w:r>
        <w:rPr>
          <w:rFonts w:ascii="Times" w:hAnsi="Times"/>
          <w:lang w:val="en-US"/>
        </w:rPr>
        <w:t xml:space="preserve"> or draw out its meaning or will. It is a statement of utmost confidence. Its </w:t>
      </w:r>
      <w:r>
        <w:rPr>
          <w:rFonts w:ascii="Times" w:hAnsi="Times"/>
          <w:lang w:val="de-DE"/>
        </w:rPr>
        <w:t>“</w:t>
      </w:r>
      <w:r>
        <w:rPr>
          <w:rFonts w:ascii="Times" w:hAnsi="Times"/>
          <w:lang w:val="fr-FR"/>
        </w:rPr>
        <w:t>Preface</w:t>
      </w:r>
      <w:r>
        <w:rPr>
          <w:rFonts w:ascii="Times" w:hAnsi="Times"/>
        </w:rPr>
        <w:t xml:space="preserve">” </w:t>
      </w:r>
      <w:r>
        <w:rPr>
          <w:rFonts w:ascii="Times" w:hAnsi="Times"/>
          <w:lang w:val="en-US"/>
        </w:rPr>
        <w:t xml:space="preserve">reads, </w:t>
      </w:r>
    </w:p>
    <w:p w:rsidR="0085263F" w:rsidRDefault="003D2D33">
      <w:pPr>
        <w:pStyle w:val="FreeForm"/>
        <w:ind w:left="720" w:right="720"/>
        <w:rPr>
          <w:rFonts w:ascii="Times" w:eastAsia="Times" w:hAnsi="Times" w:cs="Times"/>
        </w:rPr>
      </w:pPr>
      <w:r>
        <w:rPr>
          <w:rFonts w:ascii="Times" w:hAnsi="Times"/>
          <w:lang w:val="en-US"/>
        </w:rPr>
        <w:t>Great and manifold were the ble</w:t>
      </w:r>
      <w:r>
        <w:rPr>
          <w:rFonts w:ascii="Times" w:hAnsi="Times"/>
          <w:lang w:val="en-US"/>
        </w:rPr>
        <w:t>ssings, most dread Sovereign, which Almighty God, the Father of all mercies, bestowed upon us the people of England, when first he sent your Majesty</w:t>
      </w:r>
      <w:r>
        <w:rPr>
          <w:rFonts w:ascii="Times" w:hAnsi="Times"/>
        </w:rPr>
        <w:t>’</w:t>
      </w:r>
      <w:r>
        <w:rPr>
          <w:rFonts w:ascii="Times" w:hAnsi="Times"/>
          <w:lang w:val="en-US"/>
        </w:rPr>
        <w:t>s Royal Person to rule and reign over us. For whereas it was the expectation of many, who wished not well u</w:t>
      </w:r>
      <w:r>
        <w:rPr>
          <w:rFonts w:ascii="Times" w:hAnsi="Times"/>
          <w:lang w:val="en-US"/>
        </w:rPr>
        <w:t xml:space="preserve">nto our Sion, that... some thick and palpable clouds of darkness would so have overshadowed this Land, that men should have been in doubt which way they were to walk, and that it </w:t>
      </w:r>
      <w:r>
        <w:rPr>
          <w:rFonts w:ascii="Times" w:hAnsi="Times"/>
          <w:lang w:val="en-US"/>
        </w:rPr>
        <w:lastRenderedPageBreak/>
        <w:t>should hardly be known, who was to direct the unsettled State; the appearance</w:t>
      </w:r>
      <w:r>
        <w:rPr>
          <w:rFonts w:ascii="Times" w:hAnsi="Times"/>
          <w:lang w:val="en-US"/>
        </w:rPr>
        <w:t xml:space="preserve"> of Your Majesty, as of the Sun in his strength, instantly dispelled those supposed and surmised mists... (Opfell 141)</w:t>
      </w:r>
    </w:p>
    <w:p w:rsidR="0085263F" w:rsidRDefault="0085263F">
      <w:pPr>
        <w:pStyle w:val="FreeForm"/>
        <w:ind w:left="720" w:right="720"/>
        <w:rPr>
          <w:rFonts w:ascii="Times" w:eastAsia="Times" w:hAnsi="Times" w:cs="Times"/>
        </w:rPr>
      </w:pPr>
    </w:p>
    <w:p w:rsidR="0085263F" w:rsidRDefault="003D2D33">
      <w:pPr>
        <w:pStyle w:val="FreeForm"/>
        <w:spacing w:line="480" w:lineRule="auto"/>
        <w:rPr>
          <w:rFonts w:ascii="Times" w:eastAsia="Times" w:hAnsi="Times" w:cs="Times"/>
        </w:rPr>
      </w:pPr>
      <w:r>
        <w:rPr>
          <w:rFonts w:ascii="Times" w:hAnsi="Times"/>
        </w:rPr>
        <w:t>James</w:t>
      </w:r>
      <w:r>
        <w:rPr>
          <w:rFonts w:ascii="Times" w:hAnsi="Times"/>
        </w:rPr>
        <w:t>’</w:t>
      </w:r>
      <w:r>
        <w:rPr>
          <w:rFonts w:ascii="Times" w:hAnsi="Times"/>
          <w:lang w:val="en-US"/>
        </w:rPr>
        <w:t xml:space="preserve">s presence is ubiquitous. As </w:t>
      </w:r>
      <w:r>
        <w:rPr>
          <w:rFonts w:ascii="Times" w:hAnsi="Times"/>
          <w:lang w:val="de-DE"/>
        </w:rPr>
        <w:t>“</w:t>
      </w:r>
      <w:r>
        <w:rPr>
          <w:rFonts w:ascii="Times" w:hAnsi="Times"/>
          <w:lang w:val="en-US"/>
        </w:rPr>
        <w:t xml:space="preserve">that sanctified person </w:t>
      </w:r>
      <w:r w:rsidR="004A76C3">
        <w:rPr>
          <w:rFonts w:ascii="Times" w:hAnsi="Times"/>
          <w:lang w:val="en-US"/>
        </w:rPr>
        <w:t>. . .</w:t>
      </w:r>
      <w:r>
        <w:rPr>
          <w:rFonts w:ascii="Times" w:hAnsi="Times"/>
          <w:lang w:val="de-DE"/>
        </w:rPr>
        <w:t xml:space="preserve"> under God</w:t>
      </w:r>
      <w:r>
        <w:rPr>
          <w:rFonts w:ascii="Times" w:hAnsi="Times"/>
        </w:rPr>
        <w:t xml:space="preserve">” </w:t>
      </w:r>
      <w:r>
        <w:rPr>
          <w:rFonts w:ascii="Times" w:hAnsi="Times"/>
          <w:lang w:val="en-US"/>
        </w:rPr>
        <w:t xml:space="preserve">(Opfell 141), he is the messianic bringer of light, a son of suns illuminating a new English Zion and delivering order, both to the </w:t>
      </w:r>
      <w:r>
        <w:rPr>
          <w:rFonts w:ascii="Times" w:hAnsi="Times"/>
          <w:lang w:val="de-DE"/>
        </w:rPr>
        <w:t>“</w:t>
      </w:r>
      <w:r>
        <w:rPr>
          <w:rFonts w:ascii="Times" w:hAnsi="Times"/>
          <w:lang w:val="en-US"/>
        </w:rPr>
        <w:t>unsettled State</w:t>
      </w:r>
      <w:r>
        <w:rPr>
          <w:rFonts w:ascii="Times" w:hAnsi="Times"/>
        </w:rPr>
        <w:t xml:space="preserve">” </w:t>
      </w:r>
      <w:r>
        <w:rPr>
          <w:rFonts w:ascii="Times" w:hAnsi="Times"/>
          <w:lang w:val="en-US"/>
        </w:rPr>
        <w:t xml:space="preserve">and </w:t>
      </w:r>
      <w:r w:rsidR="004A76C3">
        <w:rPr>
          <w:rFonts w:ascii="Times" w:hAnsi="Times"/>
          <w:lang w:val="en-US"/>
        </w:rPr>
        <w:t xml:space="preserve">to </w:t>
      </w:r>
      <w:r>
        <w:rPr>
          <w:rFonts w:ascii="Times" w:hAnsi="Times"/>
          <w:lang w:val="en-US"/>
        </w:rPr>
        <w:t>the private lives of his formally darkened nation. As his governance clears the mist of a mired nation</w:t>
      </w:r>
      <w:r w:rsidR="004A76C3">
        <w:rPr>
          <w:rFonts w:ascii="Times" w:hAnsi="Times"/>
          <w:lang w:val="en-US"/>
        </w:rPr>
        <w:t>,</w:t>
      </w:r>
      <w:r>
        <w:rPr>
          <w:rFonts w:ascii="Times" w:hAnsi="Times"/>
          <w:lang w:val="en-US"/>
        </w:rPr>
        <w:t xml:space="preserve"> so too does James dispel the miasma of text. In a text which silences commentary</w:t>
      </w:r>
      <w:r w:rsidR="004A76C3">
        <w:rPr>
          <w:rFonts w:ascii="Times" w:hAnsi="Times"/>
          <w:lang w:val="en-US"/>
        </w:rPr>
        <w:t>—</w:t>
      </w:r>
      <w:r>
        <w:rPr>
          <w:rFonts w:ascii="Times" w:hAnsi="Times"/>
          <w:lang w:val="en-US"/>
        </w:rPr>
        <w:t>commentary inextricably linked with religious and political dissent</w:t>
      </w:r>
      <w:r w:rsidR="004A76C3">
        <w:rPr>
          <w:rFonts w:ascii="Times" w:hAnsi="Times"/>
          <w:lang w:val="en-US"/>
        </w:rPr>
        <w:t>—</w:t>
      </w:r>
      <w:r>
        <w:rPr>
          <w:rFonts w:ascii="Times" w:hAnsi="Times"/>
          <w:lang w:val="en-US"/>
        </w:rPr>
        <w:t>James</w:t>
      </w:r>
      <w:r>
        <w:rPr>
          <w:rFonts w:ascii="Times" w:hAnsi="Times"/>
        </w:rPr>
        <w:t>’</w:t>
      </w:r>
      <w:r>
        <w:rPr>
          <w:rFonts w:ascii="Times" w:hAnsi="Times"/>
          <w:lang w:val="en-US"/>
        </w:rPr>
        <w:t>s rule as an absolutist is inseparable from the work his translators produce. Indicative of his ab</w:t>
      </w:r>
      <w:r>
        <w:rPr>
          <w:rFonts w:ascii="Times" w:hAnsi="Times"/>
          <w:lang w:val="en-US"/>
        </w:rPr>
        <w:t>solutist project, his translators elsewhere present him as author, patron, reader</w:t>
      </w:r>
      <w:r w:rsidR="004A76C3">
        <w:rPr>
          <w:rFonts w:ascii="Times" w:hAnsi="Times"/>
          <w:lang w:val="en-US"/>
        </w:rPr>
        <w:t>,</w:t>
      </w:r>
      <w:r>
        <w:rPr>
          <w:rFonts w:ascii="Times" w:hAnsi="Times"/>
          <w:lang w:val="en-US"/>
        </w:rPr>
        <w:t xml:space="preserve"> and critic of the text. To the text</w:t>
      </w:r>
      <w:r w:rsidR="004A76C3">
        <w:rPr>
          <w:rFonts w:ascii="Times" w:hAnsi="Times"/>
          <w:lang w:val="en-US"/>
        </w:rPr>
        <w:t>,</w:t>
      </w:r>
      <w:r>
        <w:rPr>
          <w:rFonts w:ascii="Times" w:hAnsi="Times"/>
          <w:lang w:val="en-US"/>
        </w:rPr>
        <w:t xml:space="preserve"> he is all things. His role as </w:t>
      </w:r>
      <w:r>
        <w:rPr>
          <w:rFonts w:ascii="Times" w:hAnsi="Times"/>
          <w:lang w:val="de-DE"/>
        </w:rPr>
        <w:t>“</w:t>
      </w:r>
      <w:r>
        <w:rPr>
          <w:rFonts w:ascii="Times" w:hAnsi="Times"/>
          <w:lang w:val="en-US"/>
        </w:rPr>
        <w:t>King and Sovereign</w:t>
      </w:r>
      <w:r>
        <w:rPr>
          <w:rFonts w:ascii="Times" w:hAnsi="Times"/>
        </w:rPr>
        <w:t xml:space="preserve">” </w:t>
      </w:r>
      <w:r>
        <w:rPr>
          <w:rFonts w:ascii="Times" w:hAnsi="Times"/>
          <w:lang w:val="en-US"/>
        </w:rPr>
        <w:t xml:space="preserve">is equal to his role as </w:t>
      </w:r>
      <w:r>
        <w:rPr>
          <w:rFonts w:ascii="Times" w:hAnsi="Times"/>
          <w:lang w:val="de-DE"/>
        </w:rPr>
        <w:t>“</w:t>
      </w:r>
      <w:r>
        <w:rPr>
          <w:rFonts w:ascii="Times" w:hAnsi="Times"/>
          <w:lang w:val="en-US"/>
        </w:rPr>
        <w:t>principal Mover and Author of the work,</w:t>
      </w:r>
      <w:r>
        <w:rPr>
          <w:rFonts w:ascii="Times" w:hAnsi="Times"/>
        </w:rPr>
        <w:t xml:space="preserve">” </w:t>
      </w:r>
      <w:r>
        <w:rPr>
          <w:rFonts w:ascii="Times" w:hAnsi="Times"/>
          <w:lang w:val="en-US"/>
        </w:rPr>
        <w:t>(142). As James is au</w:t>
      </w:r>
      <w:r>
        <w:rPr>
          <w:rFonts w:ascii="Times" w:hAnsi="Times"/>
          <w:lang w:val="en-US"/>
        </w:rPr>
        <w:t xml:space="preserve">thor, he is king. </w:t>
      </w:r>
    </w:p>
    <w:p w:rsidR="0085263F" w:rsidRDefault="003D2D33">
      <w:pPr>
        <w:pStyle w:val="FreeForm"/>
        <w:spacing w:line="480" w:lineRule="auto"/>
        <w:rPr>
          <w:rFonts w:ascii="Times" w:eastAsia="Times" w:hAnsi="Times" w:cs="Times"/>
        </w:rPr>
      </w:pPr>
      <w:r>
        <w:rPr>
          <w:rFonts w:ascii="Times" w:eastAsia="Times" w:hAnsi="Times" w:cs="Times"/>
          <w:lang w:val="en-US"/>
        </w:rPr>
        <w:tab/>
        <w:t>If through the KJV James felt a need to demonstrate his absolute rule with an absolute text, he also expresses a deficient grasp of that absolutism. The silence at the page</w:t>
      </w:r>
      <w:r>
        <w:rPr>
          <w:rFonts w:ascii="Times" w:hAnsi="Times"/>
        </w:rPr>
        <w:t>’</w:t>
      </w:r>
      <w:r>
        <w:rPr>
          <w:rFonts w:ascii="Times" w:hAnsi="Times"/>
          <w:lang w:val="en-US"/>
        </w:rPr>
        <w:t>s edge only calls attention to the expulsion of the voices whic</w:t>
      </w:r>
      <w:r>
        <w:rPr>
          <w:rFonts w:ascii="Times" w:hAnsi="Times"/>
          <w:lang w:val="en-US"/>
        </w:rPr>
        <w:t xml:space="preserve">h once occupied that space. </w:t>
      </w:r>
      <w:r>
        <w:rPr>
          <w:rFonts w:ascii="Times New Roman" w:hAnsi="Times New Roman"/>
          <w:lang w:val="en-US"/>
        </w:rPr>
        <w:t xml:space="preserve">Sleights states, </w:t>
      </w:r>
      <w:r>
        <w:rPr>
          <w:rFonts w:ascii="Times" w:hAnsi="Times"/>
          <w:lang w:val="de-DE"/>
        </w:rPr>
        <w:t>“</w:t>
      </w:r>
      <w:r>
        <w:rPr>
          <w:rFonts w:ascii="Times" w:hAnsi="Times"/>
          <w:lang w:val="en-US"/>
        </w:rPr>
        <w:t>By James I</w:t>
      </w:r>
      <w:r>
        <w:rPr>
          <w:rFonts w:ascii="Times" w:hAnsi="Times"/>
        </w:rPr>
        <w:t>’</w:t>
      </w:r>
      <w:r>
        <w:rPr>
          <w:rFonts w:ascii="Times" w:hAnsi="Times"/>
          <w:lang w:val="en-US"/>
        </w:rPr>
        <w:t>s measure, the Geneva glosses far exceeded permissible limits, going so far at one point as to condone rebellion against a lawful king</w:t>
      </w:r>
      <w:r>
        <w:rPr>
          <w:rFonts w:ascii="Times" w:hAnsi="Times"/>
        </w:rPr>
        <w:t xml:space="preserve">” </w:t>
      </w:r>
      <w:r>
        <w:rPr>
          <w:rFonts w:ascii="Times" w:hAnsi="Times"/>
          <w:lang w:val="en-US"/>
        </w:rPr>
        <w:t xml:space="preserve">(Sleights 265). The gloss performs this action on a structural </w:t>
      </w:r>
      <w:r>
        <w:rPr>
          <w:rFonts w:ascii="Times" w:hAnsi="Times"/>
          <w:lang w:val="en-US"/>
        </w:rPr>
        <w:t xml:space="preserve">level. It is no surprise, then, that James attempts to absolve the Bible of difference. Jason Peters writes, </w:t>
      </w:r>
      <w:r>
        <w:rPr>
          <w:rFonts w:ascii="Times" w:hAnsi="Times"/>
          <w:lang w:val="de-DE"/>
        </w:rPr>
        <w:t>“</w:t>
      </w:r>
      <w:r>
        <w:rPr>
          <w:rFonts w:ascii="Times" w:hAnsi="Times"/>
          <w:lang w:val="en-US"/>
        </w:rPr>
        <w:t>From the beginning the new Bible was to be part of a larger policy directed towards mediating between opposing religious factions</w:t>
      </w:r>
      <w:r>
        <w:rPr>
          <w:rFonts w:ascii="Times" w:hAnsi="Times"/>
        </w:rPr>
        <w:t xml:space="preserve">” </w:t>
      </w:r>
      <w:r>
        <w:rPr>
          <w:rFonts w:ascii="Times" w:hAnsi="Times"/>
          <w:lang w:val="en-US"/>
        </w:rPr>
        <w:t>(Peters 71). In</w:t>
      </w:r>
      <w:r>
        <w:rPr>
          <w:rFonts w:ascii="Times" w:hAnsi="Times"/>
          <w:lang w:val="en-US"/>
        </w:rPr>
        <w:t xml:space="preserve"> the moment that England declared its imperial strength, as its ruler claimed </w:t>
      </w:r>
      <w:r>
        <w:rPr>
          <w:rFonts w:ascii="Times" w:hAnsi="Times"/>
          <w:lang w:val="de-DE"/>
        </w:rPr>
        <w:t>“</w:t>
      </w:r>
      <w:r>
        <w:rPr>
          <w:rFonts w:ascii="Times" w:hAnsi="Times"/>
          <w:lang w:val="en-US"/>
        </w:rPr>
        <w:t>Godhood under God</w:t>
      </w:r>
      <w:r>
        <w:rPr>
          <w:rFonts w:ascii="Times" w:hAnsi="Times"/>
        </w:rPr>
        <w:t xml:space="preserve">” </w:t>
      </w:r>
      <w:r>
        <w:rPr>
          <w:rFonts w:ascii="Times" w:hAnsi="Times"/>
          <w:lang w:val="en-US"/>
        </w:rPr>
        <w:t>(Rather 6), aiming at a unification of Scotland and England, England was in a fragile state, divided amongst various extremist and moderate P</w:t>
      </w:r>
      <w:bookmarkStart w:id="0" w:name="_GoBack"/>
      <w:bookmarkEnd w:id="0"/>
      <w:r>
        <w:rPr>
          <w:rFonts w:ascii="Times" w:hAnsi="Times"/>
          <w:lang w:val="en-US"/>
        </w:rPr>
        <w:t xml:space="preserve">rotestant sects, </w:t>
      </w:r>
      <w:r>
        <w:rPr>
          <w:rFonts w:ascii="Times" w:hAnsi="Times"/>
          <w:lang w:val="en-US"/>
        </w:rPr>
        <w:t>Anglican purists, Protestant</w:t>
      </w:r>
      <w:r w:rsidR="004A76C3">
        <w:rPr>
          <w:rFonts w:ascii="Times" w:hAnsi="Times"/>
          <w:lang w:val="en-US"/>
        </w:rPr>
        <w:t>-</w:t>
      </w:r>
      <w:r>
        <w:rPr>
          <w:rFonts w:ascii="Times" w:hAnsi="Times"/>
          <w:lang w:val="en-US"/>
        </w:rPr>
        <w:t xml:space="preserve">leaning Anglicans and </w:t>
      </w:r>
      <w:r>
        <w:rPr>
          <w:rFonts w:ascii="Times" w:hAnsi="Times"/>
          <w:lang w:val="en-US"/>
        </w:rPr>
        <w:lastRenderedPageBreak/>
        <w:t xml:space="preserve">Anglicans seeking Catholic reconciliation. The presentation of confidence and absoluteness in the KJV can, therefore, be read as an anxiety-ridden desire for stability. </w:t>
      </w:r>
    </w:p>
    <w:p w:rsidR="0085263F" w:rsidRDefault="003D2D33">
      <w:pPr>
        <w:pStyle w:val="FreeForm"/>
        <w:spacing w:line="480" w:lineRule="auto"/>
        <w:rPr>
          <w:rFonts w:ascii="Times" w:eastAsia="Times" w:hAnsi="Times" w:cs="Times"/>
        </w:rPr>
      </w:pPr>
      <w:r>
        <w:rPr>
          <w:rFonts w:ascii="Times" w:eastAsia="Times" w:hAnsi="Times" w:cs="Times"/>
          <w:lang w:val="en-US"/>
        </w:rPr>
        <w:tab/>
        <w:t>Without annotation and as a projec</w:t>
      </w:r>
      <w:r>
        <w:rPr>
          <w:rFonts w:ascii="Times" w:eastAsia="Times" w:hAnsi="Times" w:cs="Times"/>
          <w:lang w:val="en-US"/>
        </w:rPr>
        <w:t>t of consolidating meaning, the authorized version functions as narrative of power and text. For this reason, the King James Version is also a version of King James. This is to say that it is a fiction and thus can be read as a narrative of James, the auth</w:t>
      </w:r>
      <w:r>
        <w:rPr>
          <w:rFonts w:ascii="Times" w:eastAsia="Times" w:hAnsi="Times" w:cs="Times"/>
          <w:lang w:val="en-US"/>
        </w:rPr>
        <w:t>orized version</w:t>
      </w:r>
      <w:r w:rsidR="004A76C3">
        <w:rPr>
          <w:rFonts w:ascii="Times" w:eastAsia="Times" w:hAnsi="Times" w:cs="Times"/>
          <w:lang w:val="en-US"/>
        </w:rPr>
        <w:t>—</w:t>
      </w:r>
      <w:r>
        <w:rPr>
          <w:rFonts w:ascii="Times" w:eastAsia="Times" w:hAnsi="Times" w:cs="Times"/>
          <w:lang w:val="en-US"/>
        </w:rPr>
        <w:t>an expression of the anxieties of power, a manifestation of the gap between rule and its expression.</w:t>
      </w:r>
    </w:p>
    <w:p w:rsidR="0085263F" w:rsidRDefault="0085263F">
      <w:pPr>
        <w:pStyle w:val="FreeForm"/>
        <w:rPr>
          <w:rFonts w:ascii="Times" w:eastAsia="Times" w:hAnsi="Times" w:cs="Times"/>
        </w:rPr>
      </w:pPr>
    </w:p>
    <w:p w:rsidR="0085263F" w:rsidRDefault="0085263F">
      <w:pPr>
        <w:pStyle w:val="FreeForm"/>
        <w:rPr>
          <w:rFonts w:ascii="Times" w:eastAsia="Times" w:hAnsi="Times" w:cs="Times"/>
        </w:rPr>
      </w:pPr>
    </w:p>
    <w:p w:rsidR="0085263F" w:rsidRDefault="003D2D33">
      <w:pPr>
        <w:pStyle w:val="FreeForm"/>
      </w:pPr>
      <w:r>
        <w:rPr>
          <w:rFonts w:ascii="Arial Unicode MS" w:eastAsia="Arial Unicode MS" w:hAnsi="Arial Unicode MS" w:cs="Arial Unicode MS"/>
        </w:rPr>
        <w:br w:type="page"/>
      </w:r>
    </w:p>
    <w:p w:rsidR="0085263F" w:rsidRDefault="003D2D33">
      <w:pPr>
        <w:pStyle w:val="FreeForm"/>
        <w:jc w:val="center"/>
        <w:rPr>
          <w:rFonts w:ascii="Times" w:eastAsia="Times" w:hAnsi="Times" w:cs="Times"/>
          <w:u w:val="single"/>
        </w:rPr>
      </w:pPr>
      <w:r>
        <w:rPr>
          <w:rFonts w:ascii="Times" w:hAnsi="Times"/>
          <w:u w:val="single"/>
          <w:lang w:val="en-US"/>
        </w:rPr>
        <w:lastRenderedPageBreak/>
        <w:t>Works Cited</w:t>
      </w:r>
    </w:p>
    <w:p w:rsidR="0085263F" w:rsidRDefault="0085263F">
      <w:pPr>
        <w:pStyle w:val="FreeForm"/>
        <w:rPr>
          <w:rFonts w:ascii="Times" w:eastAsia="Times" w:hAnsi="Times" w:cs="Times"/>
        </w:rPr>
      </w:pPr>
    </w:p>
    <w:p w:rsidR="0085263F" w:rsidRPr="004A76C3" w:rsidRDefault="003D2D33" w:rsidP="004A76C3">
      <w:pPr>
        <w:pStyle w:val="FreeForm"/>
        <w:ind w:left="720" w:hanging="720"/>
        <w:rPr>
          <w:rFonts w:ascii="Times" w:eastAsia="Times" w:hAnsi="Times" w:cs="Times"/>
          <w:u w:val="single"/>
        </w:rPr>
      </w:pPr>
      <w:r>
        <w:rPr>
          <w:rFonts w:ascii="Times" w:hAnsi="Times"/>
          <w:lang w:val="en-US"/>
        </w:rPr>
        <w:t xml:space="preserve">Betteridge, Walter R.. </w:t>
      </w:r>
      <w:r>
        <w:rPr>
          <w:rFonts w:ascii="Times" w:hAnsi="Times"/>
          <w:lang w:val="de-DE"/>
        </w:rPr>
        <w:t>“</w:t>
      </w:r>
      <w:r>
        <w:rPr>
          <w:rFonts w:ascii="Times" w:hAnsi="Times"/>
          <w:lang w:val="en-US"/>
        </w:rPr>
        <w:t>The Accuracy of the Authorized Version of the Old Testament.</w:t>
      </w:r>
      <w:r>
        <w:rPr>
          <w:rFonts w:ascii="Times" w:hAnsi="Times"/>
        </w:rPr>
        <w:t xml:space="preserve">” </w:t>
      </w:r>
      <w:r w:rsidRPr="004A76C3">
        <w:rPr>
          <w:rFonts w:ascii="Times" w:hAnsi="Times"/>
          <w:i/>
          <w:lang w:val="en-US"/>
        </w:rPr>
        <w:t>The</w:t>
      </w:r>
      <w:r w:rsidR="004A76C3" w:rsidRPr="004A76C3">
        <w:rPr>
          <w:rFonts w:ascii="Times" w:hAnsi="Times"/>
          <w:i/>
          <w:lang w:val="en-US"/>
        </w:rPr>
        <w:t xml:space="preserve"> </w:t>
      </w:r>
      <w:r w:rsidRPr="004A76C3">
        <w:rPr>
          <w:rFonts w:ascii="Times" w:eastAsia="Times" w:hAnsi="Times" w:cs="Times"/>
          <w:i/>
          <w:lang w:val="en-US"/>
        </w:rPr>
        <w:t>Biblical World</w:t>
      </w:r>
      <w:r>
        <w:rPr>
          <w:rFonts w:ascii="Times" w:hAnsi="Times"/>
        </w:rPr>
        <w:t xml:space="preserve"> 37.4 (1911): 262-270.</w:t>
      </w:r>
    </w:p>
    <w:p w:rsidR="0085263F" w:rsidRDefault="0085263F" w:rsidP="004A76C3">
      <w:pPr>
        <w:pStyle w:val="FreeForm"/>
        <w:ind w:left="720" w:hanging="720"/>
        <w:rPr>
          <w:rFonts w:ascii="Times" w:eastAsia="Times" w:hAnsi="Times" w:cs="Times"/>
        </w:rPr>
      </w:pPr>
    </w:p>
    <w:p w:rsidR="0085263F" w:rsidRPr="004A76C3" w:rsidRDefault="003D2D33" w:rsidP="004A76C3">
      <w:pPr>
        <w:pStyle w:val="FreeForm"/>
        <w:ind w:left="720" w:hanging="720"/>
        <w:rPr>
          <w:rFonts w:ascii="Times" w:eastAsia="Times" w:hAnsi="Times" w:cs="Times"/>
        </w:rPr>
      </w:pPr>
      <w:r w:rsidRPr="004A76C3">
        <w:rPr>
          <w:rFonts w:ascii="Times" w:hAnsi="Times"/>
          <w:i/>
          <w:lang w:val="en-US"/>
        </w:rPr>
        <w:t>The Bible and Holy Scriptures conteyned in the Olde and Newe Testament</w:t>
      </w:r>
      <w:r>
        <w:rPr>
          <w:rFonts w:ascii="Times" w:hAnsi="Times"/>
        </w:rPr>
        <w:t>. Geneva: Rovland</w:t>
      </w:r>
      <w:r w:rsidR="004A76C3">
        <w:rPr>
          <w:rFonts w:ascii="Times" w:hAnsi="Times"/>
        </w:rPr>
        <w:t xml:space="preserve"> </w:t>
      </w:r>
      <w:r>
        <w:rPr>
          <w:rFonts w:ascii="Times" w:eastAsia="Times" w:hAnsi="Times" w:cs="Times"/>
          <w:lang w:val="en-US"/>
        </w:rPr>
        <w:t>Hall, 1560.</w:t>
      </w:r>
    </w:p>
    <w:p w:rsidR="0085263F" w:rsidRDefault="0085263F" w:rsidP="004A76C3">
      <w:pPr>
        <w:pStyle w:val="FreeForm"/>
        <w:ind w:left="720" w:hanging="720"/>
        <w:rPr>
          <w:rFonts w:ascii="Times" w:eastAsia="Times" w:hAnsi="Times" w:cs="Times"/>
        </w:rPr>
      </w:pPr>
    </w:p>
    <w:p w:rsidR="0085263F" w:rsidRDefault="003D2D33" w:rsidP="004A76C3">
      <w:pPr>
        <w:pStyle w:val="FreeForm"/>
        <w:ind w:left="720" w:hanging="720"/>
        <w:rPr>
          <w:rFonts w:ascii="Times" w:eastAsia="Times" w:hAnsi="Times" w:cs="Times"/>
        </w:rPr>
      </w:pPr>
      <w:r>
        <w:rPr>
          <w:rFonts w:ascii="Times" w:hAnsi="Times"/>
          <w:lang w:val="it-IT"/>
        </w:rPr>
        <w:t xml:space="preserve">Derrida, Jacques. </w:t>
      </w:r>
      <w:r>
        <w:rPr>
          <w:rFonts w:ascii="Times" w:hAnsi="Times"/>
          <w:lang w:val="de-DE"/>
        </w:rPr>
        <w:t>“</w:t>
      </w:r>
      <w:r>
        <w:rPr>
          <w:rFonts w:ascii="Times" w:hAnsi="Times"/>
          <w:lang w:val="en-US"/>
        </w:rPr>
        <w:t>Living On.</w:t>
      </w:r>
      <w:r>
        <w:rPr>
          <w:rFonts w:ascii="Times" w:hAnsi="Times"/>
        </w:rPr>
        <w:t xml:space="preserve">” </w:t>
      </w:r>
      <w:r w:rsidRPr="004A76C3">
        <w:rPr>
          <w:rFonts w:ascii="Times" w:hAnsi="Times"/>
          <w:i/>
          <w:lang w:val="en-US"/>
        </w:rPr>
        <w:t>Deconstruction &amp; Criticism</w:t>
      </w:r>
      <w:r>
        <w:rPr>
          <w:rFonts w:ascii="Times" w:hAnsi="Times"/>
          <w:lang w:val="en-US"/>
        </w:rPr>
        <w:t xml:space="preserve">. New York: Continuum Publishing </w:t>
      </w:r>
      <w:r>
        <w:rPr>
          <w:rFonts w:ascii="Times" w:eastAsia="Times" w:hAnsi="Times" w:cs="Times"/>
          <w:lang w:val="en-US"/>
        </w:rPr>
        <w:t>Company, 1979.</w:t>
      </w:r>
    </w:p>
    <w:p w:rsidR="0085263F" w:rsidRDefault="0085263F" w:rsidP="004A76C3">
      <w:pPr>
        <w:pStyle w:val="FreeForm"/>
        <w:ind w:left="720" w:hanging="720"/>
        <w:rPr>
          <w:rFonts w:ascii="Times" w:eastAsia="Times" w:hAnsi="Times" w:cs="Times"/>
        </w:rPr>
      </w:pPr>
    </w:p>
    <w:p w:rsidR="0085263F" w:rsidRDefault="003D2D33" w:rsidP="004A76C3">
      <w:pPr>
        <w:pStyle w:val="FreeForm"/>
        <w:ind w:left="720" w:hanging="720"/>
        <w:rPr>
          <w:rFonts w:ascii="Times" w:eastAsia="Times" w:hAnsi="Times" w:cs="Times"/>
          <w:u w:val="single"/>
        </w:rPr>
      </w:pPr>
      <w:r w:rsidRPr="004A76C3">
        <w:rPr>
          <w:rFonts w:ascii="Times" w:hAnsi="Times"/>
          <w:i/>
          <w:lang w:val="en-US"/>
        </w:rPr>
        <w:t xml:space="preserve">The Holie Bible: </w:t>
      </w:r>
      <w:r w:rsidRPr="004A76C3">
        <w:rPr>
          <w:rFonts w:ascii="Times" w:hAnsi="Times"/>
          <w:i/>
          <w:lang w:val="en-US"/>
        </w:rPr>
        <w:t>conteyning the Old Testament and the Newe</w:t>
      </w:r>
      <w:r>
        <w:rPr>
          <w:rFonts w:ascii="Times" w:hAnsi="Times"/>
        </w:rPr>
        <w:t>. 1568.</w:t>
      </w:r>
    </w:p>
    <w:p w:rsidR="0085263F" w:rsidRDefault="0085263F" w:rsidP="004A76C3">
      <w:pPr>
        <w:pStyle w:val="FreeForm"/>
        <w:ind w:left="720" w:hanging="720"/>
        <w:rPr>
          <w:rFonts w:ascii="Times" w:eastAsia="Times" w:hAnsi="Times" w:cs="Times"/>
          <w:u w:val="single"/>
        </w:rPr>
      </w:pPr>
    </w:p>
    <w:p w:rsidR="0085263F" w:rsidRPr="004A76C3" w:rsidRDefault="003D2D33" w:rsidP="004A76C3">
      <w:pPr>
        <w:pStyle w:val="FreeForm"/>
        <w:ind w:left="720" w:hanging="720"/>
        <w:rPr>
          <w:rFonts w:ascii="Times" w:eastAsia="Times" w:hAnsi="Times" w:cs="Times"/>
          <w:i/>
        </w:rPr>
      </w:pPr>
      <w:r w:rsidRPr="004A76C3">
        <w:rPr>
          <w:rFonts w:ascii="Times" w:hAnsi="Times"/>
          <w:i/>
          <w:lang w:val="en-US"/>
        </w:rPr>
        <w:t xml:space="preserve">The Holy Bible, conteyning the Old Testament, and the New: newly translated out of the </w:t>
      </w:r>
      <w:r w:rsidRPr="004A76C3">
        <w:rPr>
          <w:rFonts w:ascii="Times" w:hAnsi="Times"/>
          <w:i/>
          <w:lang w:val="en-US"/>
        </w:rPr>
        <w:t xml:space="preserve">originall tongues, &amp; with the former translations diligently compared and reuised, by His </w:t>
      </w:r>
      <w:r w:rsidRPr="004A76C3">
        <w:rPr>
          <w:rFonts w:ascii="Times" w:hAnsi="Times"/>
          <w:i/>
          <w:lang w:val="en-US"/>
        </w:rPr>
        <w:t>Maiesties speciall co</w:t>
      </w:r>
      <w:r w:rsidRPr="004A76C3">
        <w:rPr>
          <w:rFonts w:ascii="Times" w:hAnsi="Times"/>
          <w:i/>
        </w:rPr>
        <w:t>̃</w:t>
      </w:r>
      <w:r w:rsidRPr="004A76C3">
        <w:rPr>
          <w:rFonts w:ascii="Times" w:hAnsi="Times"/>
          <w:i/>
          <w:lang w:val="en-US"/>
        </w:rPr>
        <w:t>man</w:t>
      </w:r>
      <w:r w:rsidRPr="004A76C3">
        <w:rPr>
          <w:rFonts w:ascii="Times" w:hAnsi="Times"/>
          <w:i/>
          <w:lang w:val="en-US"/>
        </w:rPr>
        <w:t>dement: appointed to be read in churches</w:t>
      </w:r>
      <w:r>
        <w:rPr>
          <w:rFonts w:ascii="Times" w:hAnsi="Times"/>
        </w:rPr>
        <w:t>. 1611.</w:t>
      </w:r>
    </w:p>
    <w:p w:rsidR="0085263F" w:rsidRDefault="0085263F" w:rsidP="004A76C3">
      <w:pPr>
        <w:pStyle w:val="FreeForm"/>
        <w:ind w:left="720" w:hanging="720"/>
        <w:rPr>
          <w:rFonts w:ascii="Times" w:eastAsia="Times" w:hAnsi="Times" w:cs="Times"/>
        </w:rPr>
      </w:pPr>
    </w:p>
    <w:p w:rsidR="0085263F" w:rsidRDefault="003D2D33" w:rsidP="004A76C3">
      <w:pPr>
        <w:pStyle w:val="FreeForm"/>
        <w:ind w:left="720" w:hanging="720"/>
        <w:rPr>
          <w:rFonts w:ascii="Times" w:eastAsia="Times" w:hAnsi="Times" w:cs="Times"/>
        </w:rPr>
      </w:pPr>
      <w:r>
        <w:rPr>
          <w:rFonts w:ascii="Times" w:hAnsi="Times"/>
          <w:lang w:val="de-DE"/>
        </w:rPr>
        <w:t xml:space="preserve">Nicholson, Adam. </w:t>
      </w:r>
      <w:r w:rsidRPr="004A76C3">
        <w:rPr>
          <w:rFonts w:ascii="Times" w:hAnsi="Times"/>
          <w:i/>
        </w:rPr>
        <w:t>God</w:t>
      </w:r>
      <w:r w:rsidRPr="004A76C3">
        <w:rPr>
          <w:rFonts w:ascii="Times" w:hAnsi="Times"/>
          <w:i/>
        </w:rPr>
        <w:t>’</w:t>
      </w:r>
      <w:r w:rsidRPr="004A76C3">
        <w:rPr>
          <w:rFonts w:ascii="Times" w:hAnsi="Times"/>
          <w:i/>
          <w:lang w:val="en-US"/>
        </w:rPr>
        <w:t>s Secretaries: The Making of the King James Bible</w:t>
      </w:r>
      <w:r>
        <w:rPr>
          <w:rFonts w:ascii="Times" w:hAnsi="Times"/>
          <w:lang w:val="en-US"/>
        </w:rPr>
        <w:t xml:space="preserve">. New York: Harper </w:t>
      </w:r>
      <w:r>
        <w:rPr>
          <w:rFonts w:ascii="Times" w:eastAsia="Times" w:hAnsi="Times" w:cs="Times"/>
          <w:lang w:val="en-US"/>
        </w:rPr>
        <w:t>Collins Publishers, 2003.</w:t>
      </w:r>
    </w:p>
    <w:p w:rsidR="0085263F" w:rsidRDefault="0085263F" w:rsidP="004A76C3">
      <w:pPr>
        <w:pStyle w:val="FreeForm"/>
        <w:ind w:left="720" w:hanging="720"/>
        <w:rPr>
          <w:rFonts w:ascii="Times" w:eastAsia="Times" w:hAnsi="Times" w:cs="Times"/>
        </w:rPr>
      </w:pPr>
    </w:p>
    <w:p w:rsidR="0085263F" w:rsidRDefault="003D2D33" w:rsidP="004A76C3">
      <w:pPr>
        <w:pStyle w:val="FreeForm"/>
        <w:ind w:left="720" w:hanging="720"/>
        <w:rPr>
          <w:rFonts w:ascii="Times" w:eastAsia="Times" w:hAnsi="Times" w:cs="Times"/>
        </w:rPr>
      </w:pPr>
      <w:r>
        <w:rPr>
          <w:rFonts w:ascii="Times" w:hAnsi="Times"/>
        </w:rPr>
        <w:t xml:space="preserve">Norton, David. </w:t>
      </w:r>
      <w:r w:rsidRPr="004A76C3">
        <w:rPr>
          <w:rFonts w:ascii="Times" w:hAnsi="Times"/>
          <w:i/>
          <w:lang w:val="en-US"/>
        </w:rPr>
        <w:t>A history of the Bible as literature: Volume One: From antiquity to 1700</w:t>
      </w:r>
      <w:r>
        <w:rPr>
          <w:rFonts w:ascii="Times" w:hAnsi="Times"/>
        </w:rPr>
        <w:t xml:space="preserve">. </w:t>
      </w:r>
      <w:r>
        <w:rPr>
          <w:rFonts w:ascii="Times" w:eastAsia="Times" w:hAnsi="Times" w:cs="Times"/>
          <w:lang w:val="en-US"/>
        </w:rPr>
        <w:t>Cambridge: Cambridge University Press, 1993.</w:t>
      </w:r>
    </w:p>
    <w:p w:rsidR="0085263F" w:rsidRDefault="0085263F" w:rsidP="004A76C3">
      <w:pPr>
        <w:pStyle w:val="FreeForm"/>
        <w:ind w:left="720" w:hanging="720"/>
        <w:rPr>
          <w:rFonts w:ascii="Times" w:eastAsia="Times" w:hAnsi="Times" w:cs="Times"/>
        </w:rPr>
      </w:pPr>
    </w:p>
    <w:p w:rsidR="0085263F" w:rsidRDefault="003D2D33" w:rsidP="004A76C3">
      <w:pPr>
        <w:pStyle w:val="FreeForm"/>
        <w:ind w:left="720" w:hanging="720"/>
        <w:rPr>
          <w:rFonts w:ascii="Times" w:eastAsia="Times" w:hAnsi="Times" w:cs="Times"/>
        </w:rPr>
      </w:pPr>
      <w:r>
        <w:rPr>
          <w:rFonts w:ascii="Times" w:hAnsi="Times"/>
          <w:lang w:val="de-DE"/>
        </w:rPr>
        <w:t>Opfell, Olga S</w:t>
      </w:r>
      <w:r>
        <w:rPr>
          <w:rFonts w:ascii="Times" w:hAnsi="Times"/>
          <w:lang w:val="de-DE"/>
        </w:rPr>
        <w:t xml:space="preserve">. </w:t>
      </w:r>
      <w:r w:rsidRPr="004A76C3">
        <w:rPr>
          <w:rFonts w:ascii="Times" w:hAnsi="Times"/>
          <w:i/>
          <w:lang w:val="en-US"/>
        </w:rPr>
        <w:t>The King James Bible Translators</w:t>
      </w:r>
      <w:r>
        <w:rPr>
          <w:rFonts w:ascii="Times" w:hAnsi="Times"/>
          <w:lang w:val="en-US"/>
        </w:rPr>
        <w:t xml:space="preserve">. Jefferson: McFarland &amp; Company, Inc., </w:t>
      </w:r>
      <w:r>
        <w:rPr>
          <w:rFonts w:ascii="Times" w:eastAsia="Times" w:hAnsi="Times" w:cs="Times"/>
        </w:rPr>
        <w:t>1982.</w:t>
      </w:r>
    </w:p>
    <w:p w:rsidR="0085263F" w:rsidRDefault="0085263F" w:rsidP="004A76C3">
      <w:pPr>
        <w:pStyle w:val="FreeForm"/>
        <w:ind w:left="720" w:hanging="720"/>
        <w:rPr>
          <w:rFonts w:ascii="Times" w:eastAsia="Times" w:hAnsi="Times" w:cs="Times"/>
        </w:rPr>
      </w:pPr>
    </w:p>
    <w:p w:rsidR="0085263F" w:rsidRDefault="003D2D33" w:rsidP="004A76C3">
      <w:pPr>
        <w:pStyle w:val="FreeForm"/>
        <w:ind w:left="720" w:hanging="720"/>
        <w:rPr>
          <w:rFonts w:ascii="Times" w:eastAsia="Times" w:hAnsi="Times" w:cs="Times"/>
        </w:rPr>
      </w:pPr>
      <w:r>
        <w:rPr>
          <w:rFonts w:ascii="Times" w:hAnsi="Times"/>
          <w:lang w:val="en-US"/>
        </w:rPr>
        <w:t xml:space="preserve">Peters, Jason. </w:t>
      </w:r>
      <w:r>
        <w:rPr>
          <w:rFonts w:ascii="Times" w:hAnsi="Times"/>
          <w:lang w:val="de-DE"/>
        </w:rPr>
        <w:t>“</w:t>
      </w:r>
      <w:r>
        <w:rPr>
          <w:rFonts w:ascii="Times" w:hAnsi="Times"/>
          <w:lang w:val="en-US"/>
        </w:rPr>
        <w:t>The King James Bible and Its Readers: Constructing Readable Space in Post-</w:t>
      </w:r>
      <w:r>
        <w:rPr>
          <w:rFonts w:ascii="Times" w:eastAsia="Times" w:hAnsi="Times" w:cs="Times"/>
        </w:rPr>
        <w:t>Reformation Englan</w:t>
      </w:r>
      <w:r>
        <w:rPr>
          <w:rFonts w:ascii="Times" w:eastAsia="Times" w:hAnsi="Times" w:cs="Times"/>
        </w:rPr>
        <w:t>d.</w:t>
      </w:r>
      <w:r>
        <w:rPr>
          <w:rFonts w:ascii="Times" w:hAnsi="Times"/>
        </w:rPr>
        <w:t xml:space="preserve">” </w:t>
      </w:r>
      <w:r>
        <w:rPr>
          <w:rFonts w:ascii="Times" w:hAnsi="Times"/>
          <w:lang w:val="en-US"/>
        </w:rPr>
        <w:t>Thesis. University of Manitoba, 2009.</w:t>
      </w:r>
    </w:p>
    <w:p w:rsidR="0085263F" w:rsidRDefault="0085263F" w:rsidP="004A76C3">
      <w:pPr>
        <w:pStyle w:val="FreeForm"/>
        <w:ind w:left="720" w:hanging="720"/>
        <w:rPr>
          <w:rFonts w:ascii="Times" w:eastAsia="Times" w:hAnsi="Times" w:cs="Times"/>
        </w:rPr>
      </w:pPr>
    </w:p>
    <w:p w:rsidR="0085263F" w:rsidRDefault="003D2D33" w:rsidP="004A76C3">
      <w:pPr>
        <w:pStyle w:val="FreeForm"/>
        <w:ind w:left="720" w:hanging="720"/>
        <w:rPr>
          <w:rFonts w:ascii="Times" w:eastAsia="Times" w:hAnsi="Times" w:cs="Times"/>
        </w:rPr>
      </w:pPr>
      <w:r>
        <w:rPr>
          <w:rFonts w:ascii="Times" w:hAnsi="Times"/>
          <w:lang w:val="en-US"/>
        </w:rPr>
        <w:t xml:space="preserve">Rather, Michael G.. </w:t>
      </w:r>
      <w:r>
        <w:rPr>
          <w:rFonts w:ascii="Times" w:hAnsi="Times"/>
          <w:lang w:val="de-DE"/>
        </w:rPr>
        <w:t>“</w:t>
      </w:r>
      <w:r>
        <w:rPr>
          <w:rFonts w:ascii="Times" w:hAnsi="Times"/>
          <w:lang w:val="en-US"/>
        </w:rPr>
        <w:t>About the Political Dimensions of the Formation of the King James Bible.</w:t>
      </w:r>
      <w:r>
        <w:rPr>
          <w:rFonts w:ascii="Times" w:hAnsi="Times"/>
        </w:rPr>
        <w:t xml:space="preserve">” </w:t>
      </w:r>
      <w:r w:rsidRPr="004A76C3">
        <w:rPr>
          <w:rFonts w:ascii="Times" w:hAnsi="Times"/>
          <w:i/>
          <w:lang w:val="en-US"/>
        </w:rPr>
        <w:t>Comparative Literature and Culture</w:t>
      </w:r>
      <w:r>
        <w:rPr>
          <w:rFonts w:ascii="Times" w:hAnsi="Times"/>
          <w:lang w:val="en-US"/>
        </w:rPr>
        <w:t xml:space="preserve"> 11.2 (2009): http://docs.lib.purdue.edu/clcweb/vol11/</w:t>
      </w:r>
    </w:p>
    <w:p w:rsidR="0085263F" w:rsidRDefault="003D2D33" w:rsidP="004A76C3">
      <w:pPr>
        <w:pStyle w:val="FreeForm"/>
        <w:ind w:left="720" w:hanging="720"/>
        <w:rPr>
          <w:rFonts w:ascii="Times" w:eastAsia="Times" w:hAnsi="Times" w:cs="Times"/>
        </w:rPr>
      </w:pPr>
      <w:r>
        <w:rPr>
          <w:rFonts w:ascii="Times" w:eastAsia="Times" w:hAnsi="Times" w:cs="Times"/>
        </w:rPr>
        <w:tab/>
        <w:t>iss2/6.</w:t>
      </w:r>
    </w:p>
    <w:p w:rsidR="0085263F" w:rsidRDefault="0085263F" w:rsidP="004A76C3">
      <w:pPr>
        <w:pStyle w:val="FreeForm"/>
        <w:ind w:left="720" w:hanging="720"/>
        <w:rPr>
          <w:rFonts w:ascii="Times" w:eastAsia="Times" w:hAnsi="Times" w:cs="Times"/>
        </w:rPr>
      </w:pPr>
    </w:p>
    <w:p w:rsidR="0085263F" w:rsidRPr="004A76C3" w:rsidRDefault="003D2D33" w:rsidP="004A76C3">
      <w:pPr>
        <w:pStyle w:val="FreeForm"/>
        <w:ind w:left="720" w:hanging="720"/>
        <w:rPr>
          <w:rFonts w:ascii="Times" w:eastAsia="Times" w:hAnsi="Times" w:cs="Times"/>
        </w:rPr>
      </w:pPr>
      <w:r>
        <w:rPr>
          <w:rFonts w:ascii="Times" w:hAnsi="Times"/>
          <w:lang w:val="en-US"/>
        </w:rPr>
        <w:t xml:space="preserve">Sherman, William </w:t>
      </w:r>
      <w:r>
        <w:rPr>
          <w:rFonts w:ascii="Times" w:hAnsi="Times"/>
          <w:lang w:val="en-US"/>
        </w:rPr>
        <w:t xml:space="preserve">H.. </w:t>
      </w:r>
      <w:r>
        <w:rPr>
          <w:rFonts w:ascii="Times" w:hAnsi="Times"/>
        </w:rPr>
        <w:t>“‘</w:t>
      </w:r>
      <w:r>
        <w:rPr>
          <w:rFonts w:ascii="Times" w:hAnsi="Times"/>
          <w:lang w:val="en-US"/>
        </w:rPr>
        <w:t>The Book thus put in every vulgar hand</w:t>
      </w:r>
      <w:r>
        <w:rPr>
          <w:rFonts w:ascii="Times" w:hAnsi="Times"/>
        </w:rPr>
        <w:t>’</w:t>
      </w:r>
      <w:r>
        <w:rPr>
          <w:rFonts w:ascii="Times" w:hAnsi="Times"/>
          <w:lang w:val="en-US"/>
        </w:rPr>
        <w:t xml:space="preserve">: Impressions of Readers in </w:t>
      </w:r>
      <w:r>
        <w:rPr>
          <w:rFonts w:ascii="Times" w:eastAsia="Times" w:hAnsi="Times" w:cs="Times"/>
          <w:lang w:val="en-US"/>
        </w:rPr>
        <w:t>Early English Printed Bibles.</w:t>
      </w:r>
      <w:r>
        <w:rPr>
          <w:rFonts w:ascii="Times" w:hAnsi="Times"/>
        </w:rPr>
        <w:t xml:space="preserve">” </w:t>
      </w:r>
      <w:r w:rsidRPr="004A76C3">
        <w:rPr>
          <w:rFonts w:ascii="Times" w:hAnsi="Times"/>
          <w:i/>
          <w:lang w:val="en-US"/>
        </w:rPr>
        <w:t>The Bible as Book: The First Printed Editions</w:t>
      </w:r>
      <w:r>
        <w:rPr>
          <w:rFonts w:ascii="Times" w:hAnsi="Times"/>
        </w:rPr>
        <w:t xml:space="preserve">. Eds. Paul </w:t>
      </w:r>
      <w:r>
        <w:rPr>
          <w:rFonts w:ascii="Times" w:eastAsia="Times" w:hAnsi="Times" w:cs="Times"/>
          <w:lang w:val="en-US"/>
        </w:rPr>
        <w:t>Saenger and Kimberly Van Kampen. New Castle: Oak Knoll Press, 1999.</w:t>
      </w:r>
    </w:p>
    <w:p w:rsidR="0085263F" w:rsidRDefault="0085263F" w:rsidP="004A76C3">
      <w:pPr>
        <w:pStyle w:val="FreeForm"/>
        <w:ind w:left="720" w:hanging="720"/>
        <w:rPr>
          <w:rFonts w:ascii="Times" w:eastAsia="Times" w:hAnsi="Times" w:cs="Times"/>
        </w:rPr>
      </w:pPr>
    </w:p>
    <w:p w:rsidR="0085263F" w:rsidRDefault="003D2D33" w:rsidP="004A76C3">
      <w:pPr>
        <w:pStyle w:val="FreeForm"/>
        <w:ind w:left="720" w:hanging="720"/>
        <w:rPr>
          <w:rFonts w:ascii="Times" w:eastAsia="Times" w:hAnsi="Times" w:cs="Times"/>
        </w:rPr>
      </w:pPr>
      <w:r>
        <w:rPr>
          <w:rFonts w:ascii="Times" w:hAnsi="Times"/>
          <w:lang w:val="en-US"/>
        </w:rPr>
        <w:t>Sleights, William W. E</w:t>
      </w:r>
      <w:r>
        <w:rPr>
          <w:rFonts w:ascii="Times" w:hAnsi="Times"/>
          <w:lang w:val="en-US"/>
        </w:rPr>
        <w:t xml:space="preserve">.. </w:t>
      </w:r>
      <w:r>
        <w:rPr>
          <w:rFonts w:ascii="Times" w:hAnsi="Times"/>
          <w:lang w:val="de-DE"/>
        </w:rPr>
        <w:t>“</w:t>
      </w:r>
      <w:r>
        <w:rPr>
          <w:rFonts w:ascii="Times" w:hAnsi="Times"/>
          <w:lang w:val="en-US"/>
        </w:rPr>
        <w:t xml:space="preserve">Marginall Notes that Spoile the Text: Scriptural Annotation in the </w:t>
      </w:r>
      <w:r>
        <w:rPr>
          <w:rFonts w:ascii="Times" w:eastAsia="Times" w:hAnsi="Times" w:cs="Times"/>
          <w:lang w:val="fr-FR"/>
        </w:rPr>
        <w:t>English Renaissance.</w:t>
      </w:r>
      <w:r>
        <w:rPr>
          <w:rFonts w:ascii="Times" w:hAnsi="Times"/>
        </w:rPr>
        <w:t xml:space="preserve">” </w:t>
      </w:r>
      <w:r w:rsidRPr="004A76C3">
        <w:rPr>
          <w:rFonts w:ascii="Times" w:hAnsi="Times"/>
          <w:i/>
          <w:lang w:val="en-US"/>
        </w:rPr>
        <w:t>Huntington Library Quarterly</w:t>
      </w:r>
      <w:r>
        <w:rPr>
          <w:rFonts w:ascii="Times" w:hAnsi="Times"/>
        </w:rPr>
        <w:t xml:space="preserve"> 55:2 (1992): 255-278.</w:t>
      </w:r>
    </w:p>
    <w:p w:rsidR="0085263F" w:rsidRDefault="0085263F" w:rsidP="004A76C3">
      <w:pPr>
        <w:pStyle w:val="FreeForm"/>
        <w:ind w:left="720" w:hanging="720"/>
        <w:rPr>
          <w:rFonts w:ascii="Times" w:eastAsia="Times" w:hAnsi="Times" w:cs="Times"/>
        </w:rPr>
      </w:pPr>
    </w:p>
    <w:p w:rsidR="0085263F" w:rsidRDefault="0085263F" w:rsidP="004A76C3">
      <w:pPr>
        <w:pStyle w:val="FreeForm"/>
        <w:ind w:left="720" w:hanging="720"/>
        <w:rPr>
          <w:rFonts w:ascii="Times" w:eastAsia="Times" w:hAnsi="Times" w:cs="Times"/>
        </w:rPr>
      </w:pPr>
    </w:p>
    <w:p w:rsidR="0085263F" w:rsidRDefault="0085263F" w:rsidP="004A76C3">
      <w:pPr>
        <w:pStyle w:val="Body"/>
        <w:ind w:left="720" w:hanging="720"/>
        <w:rPr>
          <w:rFonts w:ascii="Times New Roman" w:eastAsia="Times New Roman" w:hAnsi="Times New Roman" w:cs="Times New Roman"/>
          <w:b/>
          <w:bCs/>
        </w:rPr>
      </w:pPr>
    </w:p>
    <w:p w:rsidR="0085263F" w:rsidRDefault="0085263F" w:rsidP="004A76C3">
      <w:pPr>
        <w:pStyle w:val="Body"/>
        <w:ind w:left="720" w:hanging="720"/>
        <w:rPr>
          <w:rFonts w:ascii="Times New Roman" w:eastAsia="Times New Roman" w:hAnsi="Times New Roman" w:cs="Times New Roman"/>
          <w:b/>
          <w:bCs/>
        </w:rPr>
      </w:pPr>
    </w:p>
    <w:p w:rsidR="0085263F" w:rsidRDefault="0085263F" w:rsidP="004A76C3">
      <w:pPr>
        <w:pStyle w:val="FreeForm"/>
        <w:ind w:left="720" w:right="720" w:hanging="720"/>
      </w:pPr>
    </w:p>
    <w:sectPr w:rsidR="0085263F">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D33" w:rsidRDefault="003D2D33">
      <w:r>
        <w:separator/>
      </w:r>
    </w:p>
  </w:endnote>
  <w:endnote w:type="continuationSeparator" w:id="0">
    <w:p w:rsidR="003D2D33" w:rsidRDefault="003D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D33" w:rsidRDefault="003D2D33">
      <w:r>
        <w:separator/>
      </w:r>
    </w:p>
  </w:footnote>
  <w:footnote w:type="continuationSeparator" w:id="0">
    <w:p w:rsidR="003D2D33" w:rsidRDefault="003D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3F" w:rsidRPr="005339FD" w:rsidRDefault="005339FD" w:rsidP="005339FD">
    <w:pPr>
      <w:pStyle w:val="Body"/>
      <w:tabs>
        <w:tab w:val="right" w:pos="9360"/>
      </w:tabs>
      <w:rPr>
        <w:rFonts w:ascii="Times New Roman" w:hAnsi="Times New Roman"/>
        <w:sz w:val="20"/>
        <w:szCs w:val="20"/>
      </w:rPr>
    </w:pPr>
    <w:r w:rsidRPr="005339FD">
      <w:rPr>
        <w:rFonts w:ascii="Times New Roman" w:hAnsi="Times New Roman"/>
        <w:sz w:val="20"/>
        <w:szCs w:val="20"/>
      </w:rPr>
      <w:t>Sasha Brau</w:t>
    </w:r>
    <w:r>
      <w:rPr>
        <w:rFonts w:ascii="Times New Roman" w:hAnsi="Times New Roman"/>
        <w:sz w:val="20"/>
        <w:szCs w:val="20"/>
      </w:rPr>
      <w:t>n</w:t>
    </w:r>
    <w:r w:rsidRPr="005339FD">
      <w:rPr>
        <w:rFonts w:ascii="Times New Roman" w:hAnsi="Times New Roman"/>
        <w:sz w:val="20"/>
        <w:szCs w:val="20"/>
      </w:rPr>
      <w:t xml:space="preserve">: </w:t>
    </w:r>
    <w:r w:rsidRPr="005339FD">
      <w:rPr>
        <w:rFonts w:ascii="Times New Roman" w:hAnsi="Times New Roman"/>
        <w:sz w:val="20"/>
        <w:szCs w:val="20"/>
      </w:rPr>
      <w:t>writing sample, copyright 2010</w:t>
    </w:r>
    <w:r w:rsidRPr="005339FD">
      <w:rPr>
        <w:rFonts w:ascii="Times New Roman" w:hAnsi="Times New Roman"/>
        <w:sz w:val="20"/>
        <w:szCs w:val="20"/>
      </w:rPr>
      <w:tab/>
      <w:t>B</w:t>
    </w:r>
    <w:r w:rsidR="003D2D33" w:rsidRPr="005339FD">
      <w:rPr>
        <w:rFonts w:ascii="Times New Roman" w:hAnsi="Times New Roman"/>
        <w:sz w:val="20"/>
        <w:szCs w:val="20"/>
      </w:rPr>
      <w:t xml:space="preserve">raun </w:t>
    </w:r>
    <w:r w:rsidR="003D2D33" w:rsidRPr="005339FD">
      <w:rPr>
        <w:rFonts w:ascii="Times New Roman" w:eastAsia="Times New Roman" w:hAnsi="Times New Roman" w:cs="Times New Roman"/>
        <w:sz w:val="20"/>
        <w:szCs w:val="20"/>
      </w:rPr>
      <w:fldChar w:fldCharType="begin"/>
    </w:r>
    <w:r w:rsidR="003D2D33" w:rsidRPr="005339FD">
      <w:rPr>
        <w:rFonts w:ascii="Times New Roman" w:eastAsia="Times New Roman" w:hAnsi="Times New Roman" w:cs="Times New Roman"/>
        <w:sz w:val="20"/>
        <w:szCs w:val="20"/>
      </w:rPr>
      <w:instrText xml:space="preserve"> PAGE </w:instrText>
    </w:r>
    <w:r w:rsidR="003D2D33" w:rsidRPr="005339FD">
      <w:rPr>
        <w:rFonts w:ascii="Times New Roman" w:eastAsia="Times New Roman" w:hAnsi="Times New Roman" w:cs="Times New Roman"/>
        <w:sz w:val="20"/>
        <w:szCs w:val="20"/>
      </w:rPr>
      <w:fldChar w:fldCharType="separate"/>
    </w:r>
    <w:r w:rsidR="00B77122">
      <w:rPr>
        <w:rFonts w:ascii="Times New Roman" w:eastAsia="Times New Roman" w:hAnsi="Times New Roman" w:cs="Times New Roman"/>
        <w:noProof/>
        <w:sz w:val="20"/>
        <w:szCs w:val="20"/>
      </w:rPr>
      <w:t>10</w:t>
    </w:r>
    <w:r w:rsidR="003D2D33" w:rsidRPr="005339FD">
      <w:rPr>
        <w:rFonts w:ascii="Times New Roman" w:eastAsia="Times New Roman" w:hAnsi="Times New Roman" w:cs="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3F"/>
    <w:rsid w:val="003D2D33"/>
    <w:rsid w:val="004A76C3"/>
    <w:rsid w:val="005104CA"/>
    <w:rsid w:val="005339FD"/>
    <w:rsid w:val="0085263F"/>
    <w:rsid w:val="00B77122"/>
    <w:rsid w:val="00CF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2300"/>
  <w15:docId w15:val="{DA9E7336-F04F-49B8-9947-D7F48713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paragraph" w:customStyle="1" w:styleId="FreeForm">
    <w:name w:val="Free Form"/>
    <w:rPr>
      <w:rFonts w:ascii="Helvetica" w:eastAsia="Helvetica" w:hAnsi="Helvetica" w:cs="Helvetica"/>
      <w:color w:val="000000"/>
      <w:sz w:val="24"/>
      <w:szCs w:val="24"/>
    </w:rPr>
  </w:style>
  <w:style w:type="paragraph" w:styleId="Header">
    <w:name w:val="header"/>
    <w:basedOn w:val="Normal"/>
    <w:link w:val="HeaderChar"/>
    <w:uiPriority w:val="99"/>
    <w:unhideWhenUsed/>
    <w:rsid w:val="005339FD"/>
    <w:pPr>
      <w:tabs>
        <w:tab w:val="center" w:pos="4513"/>
        <w:tab w:val="right" w:pos="9026"/>
      </w:tabs>
    </w:pPr>
  </w:style>
  <w:style w:type="character" w:customStyle="1" w:styleId="HeaderChar">
    <w:name w:val="Header Char"/>
    <w:basedOn w:val="DefaultParagraphFont"/>
    <w:link w:val="Header"/>
    <w:uiPriority w:val="99"/>
    <w:rsid w:val="005339FD"/>
    <w:rPr>
      <w:sz w:val="24"/>
      <w:szCs w:val="24"/>
      <w:lang w:val="en-US" w:eastAsia="en-US"/>
    </w:rPr>
  </w:style>
  <w:style w:type="paragraph" w:styleId="Footer">
    <w:name w:val="footer"/>
    <w:basedOn w:val="Normal"/>
    <w:link w:val="FooterChar"/>
    <w:uiPriority w:val="99"/>
    <w:unhideWhenUsed/>
    <w:rsid w:val="005339FD"/>
    <w:pPr>
      <w:tabs>
        <w:tab w:val="center" w:pos="4513"/>
        <w:tab w:val="right" w:pos="9026"/>
      </w:tabs>
    </w:pPr>
  </w:style>
  <w:style w:type="character" w:customStyle="1" w:styleId="FooterChar">
    <w:name w:val="Footer Char"/>
    <w:basedOn w:val="DefaultParagraphFont"/>
    <w:link w:val="Footer"/>
    <w:uiPriority w:val="99"/>
    <w:rsid w:val="005339F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Braun</cp:lastModifiedBy>
  <cp:revision>2</cp:revision>
  <dcterms:created xsi:type="dcterms:W3CDTF">2018-02-20T23:48:00Z</dcterms:created>
  <dcterms:modified xsi:type="dcterms:W3CDTF">2018-02-21T00:33:00Z</dcterms:modified>
</cp:coreProperties>
</file>